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659574607"/>
        <w:docPartObj>
          <w:docPartGallery w:val="Cover Pages"/>
          <w:docPartUnique/>
        </w:docPartObj>
      </w:sdtPr>
      <w:sdtEndPr/>
      <w:sdtContent>
        <w:p w:rsidR="00611916" w:rsidRDefault="00616CAB" w:rsidP="00616CAB">
          <w:pPr>
            <w:tabs>
              <w:tab w:val="left" w:pos="1985"/>
            </w:tabs>
          </w:pPr>
          <w:r>
            <w:tab/>
          </w:r>
          <w:r>
            <w:tab/>
          </w:r>
          <w:r>
            <w:tab/>
          </w:r>
          <w:r>
            <w:tab/>
          </w:r>
          <w:r>
            <w:tab/>
          </w:r>
          <w:r>
            <w:tab/>
          </w:r>
          <w:r>
            <w:tab/>
          </w:r>
          <w:r>
            <w:tab/>
          </w:r>
          <w:r>
            <w:tab/>
          </w:r>
          <w:r>
            <w:tab/>
          </w:r>
          <w:r>
            <w:tab/>
          </w:r>
          <w:r>
            <w:tab/>
          </w:r>
          <w:r>
            <w:tab/>
          </w:r>
          <w:r>
            <w:rPr>
              <w:b/>
              <w:noProof/>
              <w:szCs w:val="36"/>
              <w:lang w:eastAsia="it-IT"/>
            </w:rPr>
            <w:drawing>
              <wp:inline distT="0" distB="0" distL="0" distR="0" wp14:anchorId="75B2C2E1" wp14:editId="65EB15B1">
                <wp:extent cx="3371215" cy="1860550"/>
                <wp:effectExtent l="0" t="0" r="635" b="6350"/>
                <wp:docPr id="1" name="Immagine 1" descr="foto-araldico-bordo-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araldico-bordo-5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215" cy="1860550"/>
                        </a:xfrm>
                        <a:prstGeom prst="rect">
                          <a:avLst/>
                        </a:prstGeom>
                        <a:noFill/>
                        <a:ln>
                          <a:noFill/>
                        </a:ln>
                      </pic:spPr>
                    </pic:pic>
                  </a:graphicData>
                </a:graphic>
              </wp:inline>
            </w:drawing>
          </w:r>
        </w:p>
        <w:p w:rsidR="009A472D" w:rsidRPr="009A472D" w:rsidRDefault="009A472D" w:rsidP="009A472D">
          <w:pPr>
            <w:jc w:val="center"/>
            <w:rPr>
              <w:b/>
            </w:rPr>
          </w:pPr>
          <w:r w:rsidRPr="009A472D">
            <w:rPr>
              <w:b/>
            </w:rPr>
            <w:t>POLIZIA DI STATO</w:t>
          </w:r>
        </w:p>
        <w:p w:rsidR="009A472D" w:rsidRPr="009A472D" w:rsidRDefault="009A472D" w:rsidP="009A472D">
          <w:pPr>
            <w:jc w:val="center"/>
            <w:rPr>
              <w:b/>
            </w:rPr>
          </w:pPr>
          <w:r w:rsidRPr="009A472D">
            <w:rPr>
              <w:b/>
            </w:rPr>
            <w:t>COMPARTIMENTO POLIZIA STRADALE</w:t>
          </w:r>
        </w:p>
        <w:p w:rsidR="009A472D" w:rsidRDefault="009A472D" w:rsidP="009A472D">
          <w:pPr>
            <w:jc w:val="center"/>
            <w:rPr>
              <w:b/>
            </w:rPr>
          </w:pPr>
          <w:r w:rsidRPr="009A472D">
            <w:rPr>
              <w:b/>
            </w:rPr>
            <w:t>Friuli Venezia Giulia</w:t>
          </w:r>
        </w:p>
        <w:p w:rsidR="009A472D" w:rsidRDefault="009A472D" w:rsidP="009A472D">
          <w:pPr>
            <w:jc w:val="center"/>
          </w:pPr>
          <w:r>
            <w:t>COMUNICATO STAMPA</w:t>
          </w:r>
        </w:p>
        <w:p w:rsidR="009A472D" w:rsidRPr="009A472D" w:rsidRDefault="009A472D" w:rsidP="009A472D">
          <w:pPr>
            <w:jc w:val="center"/>
            <w:rPr>
              <w:b/>
              <w:i/>
              <w:u w:val="single"/>
            </w:rPr>
          </w:pPr>
          <w:r w:rsidRPr="009A472D">
            <w:rPr>
              <w:b/>
              <w:i/>
              <w:u w:val="single"/>
            </w:rPr>
            <w:t xml:space="preserve">AUTOSTRADA A/4 TRIESTE VENEZIA </w:t>
          </w:r>
          <w:r w:rsidR="00616CAB">
            <w:rPr>
              <w:b/>
              <w:i/>
              <w:u w:val="single"/>
            </w:rPr>
            <w:t xml:space="preserve">“ </w:t>
          </w:r>
          <w:r w:rsidRPr="009A472D">
            <w:rPr>
              <w:b/>
              <w:i/>
              <w:u w:val="single"/>
            </w:rPr>
            <w:t>LA GRANDE OSSERVATA</w:t>
          </w:r>
          <w:r w:rsidR="00616CAB">
            <w:rPr>
              <w:b/>
              <w:i/>
              <w:u w:val="single"/>
            </w:rPr>
            <w:t xml:space="preserve"> “</w:t>
          </w:r>
        </w:p>
        <w:p w:rsidR="00616CAB" w:rsidRPr="00CB2368" w:rsidRDefault="009A472D" w:rsidP="00CB2368">
          <w:pPr>
            <w:jc w:val="center"/>
            <w:rPr>
              <w:b/>
              <w:i/>
              <w:u w:val="single"/>
            </w:rPr>
          </w:pPr>
          <w:r w:rsidRPr="009A472D">
            <w:rPr>
              <w:b/>
              <w:i/>
              <w:u w:val="single"/>
            </w:rPr>
            <w:t>FOCUS SULL’ INCIDENTALITA’ 2021</w:t>
          </w:r>
        </w:p>
        <w:p w:rsidR="00616CAB" w:rsidRDefault="00616CAB" w:rsidP="009A472D"/>
        <w:p w:rsidR="009A472D" w:rsidRDefault="009A472D" w:rsidP="009A472D">
          <w:r>
            <w:t>Ci interessiamo di strade, di fenomeni che avvengono sulle strade e dei cambiamenti sociali che influiscono sull’utilizzo delle strade. E’ per questo che la Polizia di Stato avverte da sempre l’esigenza di approcciarsi in maniera tecnica, diremmo scientifica all’analisi del fenomeno infortunistico.</w:t>
          </w:r>
        </w:p>
        <w:p w:rsidR="009A472D" w:rsidRDefault="009A472D" w:rsidP="009A472D">
          <w:r>
            <w:t xml:space="preserve">E’ il monitoraggio e l’analisi degli incidenti stradali che permette agli operatori della sicurezza stradale di immaginare e mettere in piedi nuove strategie, protocolli operativi, campagne di sensibilizzazione per la riduzione dell’infortunistica </w:t>
          </w:r>
          <w:r w:rsidR="009A567E">
            <w:t xml:space="preserve">stradale </w:t>
          </w:r>
          <w:r>
            <w:t>e per il miglioramento della sicurezza e della fluidità della circolazione.</w:t>
          </w:r>
        </w:p>
        <w:p w:rsidR="009A472D" w:rsidRDefault="009A472D" w:rsidP="009A472D">
          <w:r>
            <w:t>Per questo la Polizia Stradale regionale ha messo sotto l</w:t>
          </w:r>
          <w:r w:rsidR="00651F6C">
            <w:t>a sua l’ente d’ingrandimento l’</w:t>
          </w:r>
          <w:r w:rsidR="00651F6C" w:rsidRPr="00651F6C">
            <w:rPr>
              <w:b/>
            </w:rPr>
            <w:t>A</w:t>
          </w:r>
          <w:r w:rsidRPr="00651F6C">
            <w:rPr>
              <w:b/>
            </w:rPr>
            <w:t>utostrada A/4</w:t>
          </w:r>
          <w:r>
            <w:t xml:space="preserve"> che, per volumi di traffico, per importanza strategica e dimensione operativa, può senza ombra di dubbio definirsi </w:t>
          </w:r>
          <w:r w:rsidR="00555931">
            <w:t>una delle strade più importanti</w:t>
          </w:r>
          <w:r>
            <w:t xml:space="preserve"> del Friuli Venezia Giulia.</w:t>
          </w:r>
        </w:p>
        <w:p w:rsidR="009A472D" w:rsidRDefault="009A472D" w:rsidP="009A472D">
          <w:r>
            <w:t xml:space="preserve">Da Portogruaro a Sistiana, l’arteria autostradale corre per più di 120 km lungo la fascia costiera della regione incontrando le località balneari di Lignano, la città fortezza di Palmanova, l’aeroporto di Ronchi dei Legionari, il porto di Monfalcone con i suoi cantieri navali per poi </w:t>
          </w:r>
          <w:r w:rsidR="00555931">
            <w:t>aprirsi definitivamente</w:t>
          </w:r>
          <w:r w:rsidR="009A567E">
            <w:t xml:space="preserve"> nell’</w:t>
          </w:r>
          <w:r>
            <w:t>altopiano carsico che degrada verso Trieste.</w:t>
          </w:r>
        </w:p>
        <w:p w:rsidR="00616CAB" w:rsidRDefault="009A472D" w:rsidP="009A472D">
          <w:r>
            <w:t>Percorrendola se ne riconosce la sua vocazione internazionale che si fa plastica nelle uscite di Villesse e di Fernetti che srotolano tappeti d’asfalto verso la vicina Slovenia e per questa verso tutta l’Europa Orientale.</w:t>
          </w:r>
        </w:p>
        <w:p w:rsidR="00555931" w:rsidRDefault="00555931" w:rsidP="009A472D">
          <w:r>
            <w:t>Senza ombra di dubbio possiamo affermare che sulla importante arteria, corre non solo sviluppo economico dell’intera Regione ma anche la sua val</w:t>
          </w:r>
          <w:r w:rsidR="009A567E">
            <w:t>orizzazione turistica.</w:t>
          </w:r>
        </w:p>
        <w:p w:rsidR="009A472D" w:rsidRDefault="00555931" w:rsidP="009A472D">
          <w:r>
            <w:lastRenderedPageBreak/>
            <w:t>I</w:t>
          </w:r>
          <w:r w:rsidR="009A472D">
            <w:t xml:space="preserve"> grafici e le statistiche sono senz’altro importanti</w:t>
          </w:r>
          <w:r>
            <w:t>,</w:t>
          </w:r>
          <w:r w:rsidR="009A472D">
            <w:t xml:space="preserve"> ma </w:t>
          </w:r>
          <w:r>
            <w:t>“</w:t>
          </w:r>
          <w:r w:rsidR="009A472D">
            <w:t>conoscere</w:t>
          </w:r>
          <w:r>
            <w:t>”</w:t>
          </w:r>
          <w:r w:rsidR="009A472D">
            <w:t xml:space="preserve"> una strada vuole dire comprenderne le dinamiche, </w:t>
          </w:r>
          <w:r>
            <w:t>la storia, l’evoluzione e quindi</w:t>
          </w:r>
          <w:r w:rsidR="009A472D">
            <w:t xml:space="preserve"> il paesaggio, le comunità che attraversa e i settori economici che supporta e sostiene. </w:t>
          </w:r>
        </w:p>
        <w:p w:rsidR="009A472D" w:rsidRDefault="009A472D" w:rsidP="009A472D">
          <w:r>
            <w:t>Interamente gestita dalla Società Concessionaria Autostradale delle Autovie Venete, l’A/4 è vigilata in forma esclusiva dalla Polizia Stradale del Friuli V</w:t>
          </w:r>
          <w:r w:rsidR="00555931">
            <w:t>enezia Giulia grazie alle donne ed agli uomini</w:t>
          </w:r>
          <w:r>
            <w:t xml:space="preserve"> delle Sezioni Pols</w:t>
          </w:r>
          <w:r w:rsidR="00555931">
            <w:t>trada di Pordenone e Gorizia e de</w:t>
          </w:r>
          <w:r>
            <w:t>lla Sottosezione</w:t>
          </w:r>
          <w:r w:rsidR="00555931">
            <w:t xml:space="preserve"> di </w:t>
          </w:r>
          <w:r w:rsidR="009C60FE">
            <w:t>Palmanova, coordinati</w:t>
          </w:r>
          <w:r w:rsidR="00555931">
            <w:t xml:space="preserve"> dal Centro Operativo A</w:t>
          </w:r>
          <w:r>
            <w:t>utostradale di Udine</w:t>
          </w:r>
          <w:r w:rsidR="00555931">
            <w:t xml:space="preserve"> (C.O.A.)</w:t>
          </w:r>
          <w:r>
            <w:t xml:space="preserve">. </w:t>
          </w:r>
        </w:p>
        <w:p w:rsidR="009A472D" w:rsidRDefault="009C60FE" w:rsidP="009A472D">
          <w:r>
            <w:t xml:space="preserve">Sono ben </w:t>
          </w:r>
          <w:r w:rsidR="009A472D">
            <w:t xml:space="preserve">16 </w:t>
          </w:r>
          <w:r>
            <w:t xml:space="preserve">le </w:t>
          </w:r>
          <w:r w:rsidR="009A472D">
            <w:t xml:space="preserve">autopattuglie </w:t>
          </w:r>
          <w:r w:rsidR="00033EFD">
            <w:t>giornaliere, ogni pattuglia è composta da due unità,</w:t>
          </w:r>
          <w:r w:rsidR="009A472D">
            <w:t xml:space="preserve"> </w:t>
          </w:r>
          <w:r w:rsidR="00033EFD">
            <w:t xml:space="preserve">che, </w:t>
          </w:r>
          <w:r w:rsidR="009A472D">
            <w:t>365 giorni all’anno 24</w:t>
          </w:r>
          <w:r>
            <w:t xml:space="preserve"> </w:t>
          </w:r>
          <w:r w:rsidR="009A472D">
            <w:t xml:space="preserve">h su </w:t>
          </w:r>
          <w:r w:rsidR="00033EFD">
            <w:t>24, in</w:t>
          </w:r>
          <w:r>
            <w:t xml:space="preserve"> qualsiasi condizione </w:t>
          </w:r>
          <w:r w:rsidR="00033EFD">
            <w:t>meteo,</w:t>
          </w:r>
          <w:r w:rsidR="009A472D">
            <w:t xml:space="preserve"> percorrono incess</w:t>
          </w:r>
          <w:r>
            <w:t>antemente la tratta Portogruaro-</w:t>
          </w:r>
          <w:r w:rsidR="009A472D">
            <w:t xml:space="preserve">Sistiana per garantire la sicurezza della </w:t>
          </w:r>
          <w:r w:rsidR="00033EFD">
            <w:t>circolazione, intesa</w:t>
          </w:r>
          <w:r w:rsidR="009A472D">
            <w:t xml:space="preserve"> </w:t>
          </w:r>
          <w:r>
            <w:t xml:space="preserve">quest’ultima </w:t>
          </w:r>
          <w:r w:rsidR="009A472D">
            <w:t>come incolumità delle persone, sicurezza delle merci, rispetto delle regole del mercato dell’autotrasporto</w:t>
          </w:r>
          <w:r w:rsidR="00033EFD">
            <w:t xml:space="preserve"> anche di natura europea. Gli operatori della Polizia Stradale, fondano la loro operatività su di una solida preparazione professionale, fatta di conoscenze di norme e regolamenti nonché una perfetta padronanza degli strumenti utilizzati per l’attività tecnica di rilievo o di accertamento delle infrazioni (telelaser,alcol </w:t>
          </w:r>
          <w:r w:rsidR="003904F3">
            <w:t>test,Top-Ctrasch</w:t>
          </w:r>
          <w:r w:rsidR="0074722E">
            <w:t>, ecc</w:t>
          </w:r>
          <w:r w:rsidR="003904F3">
            <w:t xml:space="preserve"> </w:t>
          </w:r>
          <w:r w:rsidR="00033EFD">
            <w:t>)</w:t>
          </w:r>
          <w:r w:rsidR="009A472D">
            <w:t xml:space="preserve"> </w:t>
          </w:r>
          <w:r w:rsidR="003904F3">
            <w:t>.</w:t>
          </w:r>
        </w:p>
        <w:p w:rsidR="009A472D" w:rsidRDefault="009A472D" w:rsidP="009A472D">
          <w:r>
            <w:t>Qualcuno h</w:t>
          </w:r>
          <w:r w:rsidR="00033EFD">
            <w:t>a definito la Polizia Stradale,</w:t>
          </w:r>
          <w:r w:rsidR="009A567E">
            <w:t xml:space="preserve"> </w:t>
          </w:r>
          <w:r>
            <w:t xml:space="preserve">un punto </w:t>
          </w:r>
          <w:r w:rsidR="00033EFD">
            <w:t>“</w:t>
          </w:r>
          <w:r w:rsidR="00033EFD" w:rsidRPr="00033EFD">
            <w:rPr>
              <w:b/>
            </w:rPr>
            <w:t>fermo sempre in movimento”:</w:t>
          </w:r>
          <w:r>
            <w:t xml:space="preserve"> e</w:t>
          </w:r>
          <w:r w:rsidR="00033EFD">
            <w:t>d analizzando i chilometri percorsi per “ogni turno di servizio”</w:t>
          </w:r>
          <w:r>
            <w:t xml:space="preserve"> </w:t>
          </w:r>
          <w:r w:rsidR="00033EFD">
            <w:t>con le autovetture di servizio,</w:t>
          </w:r>
          <w:r>
            <w:t xml:space="preserve"> potremmo dire che mai motto fu tanto azzeccato. </w:t>
          </w:r>
        </w:p>
        <w:p w:rsidR="009A472D" w:rsidRDefault="009A472D" w:rsidP="009A472D">
          <w:r>
            <w:t>In questa importantissima sfida</w:t>
          </w:r>
          <w:r w:rsidR="003904F3">
            <w:t xml:space="preserve">, </w:t>
          </w:r>
          <w:r>
            <w:t>la</w:t>
          </w:r>
          <w:r w:rsidR="00033EFD">
            <w:t xml:space="preserve"> Polizia di Stato </w:t>
          </w:r>
          <w:r w:rsidR="003904F3">
            <w:t>opera in perfetta sinergia</w:t>
          </w:r>
          <w:r w:rsidR="009A567E">
            <w:t xml:space="preserve"> con la Società Concessionaria Autostradale delle Autovie Venete</w:t>
          </w:r>
          <w:r w:rsidR="00033EFD">
            <w:t xml:space="preserve"> </w:t>
          </w:r>
          <w:r w:rsidR="003904F3">
            <w:t>per</w:t>
          </w:r>
          <w:r>
            <w:t xml:space="preserve"> un intervento </w:t>
          </w:r>
          <w:r w:rsidRPr="007D6364">
            <w:rPr>
              <w:i/>
            </w:rPr>
            <w:t>d’eq</w:t>
          </w:r>
          <w:r w:rsidR="007D6364">
            <w:rPr>
              <w:i/>
            </w:rPr>
            <w:t>u</w:t>
          </w:r>
          <w:r w:rsidRPr="007D6364">
            <w:rPr>
              <w:i/>
            </w:rPr>
            <w:t>ipe,</w:t>
          </w:r>
          <w:r>
            <w:t xml:space="preserve"> un equilibrato avvicendarsi di procedure ed attori</w:t>
          </w:r>
          <w:r w:rsidR="00651F6C">
            <w:t>,</w:t>
          </w:r>
          <w:r w:rsidR="009A567E">
            <w:t xml:space="preserve"> </w:t>
          </w:r>
          <w:r w:rsidR="00651F6C">
            <w:t>univocamente direzionati alla</w:t>
          </w:r>
          <w:r>
            <w:t xml:space="preserve"> </w:t>
          </w:r>
          <w:r w:rsidRPr="00651F6C">
            <w:rPr>
              <w:b/>
            </w:rPr>
            <w:t>sicurezza della circolazione stradale</w:t>
          </w:r>
          <w:r>
            <w:t>. Questa condizione è suggellata da un vero e proprio patto, una convenzione che lega la Polizia di Stato alla Società Concessionaria e che rappresenta una armonica testimonianza di come il sodalizio pubblico privato possa produrre risultati realmente rilevanti a vantaggio dei cittadini.</w:t>
          </w:r>
        </w:p>
        <w:p w:rsidR="009A472D" w:rsidRDefault="0074722E" w:rsidP="009A472D">
          <w:r>
            <w:t xml:space="preserve">Ma è il </w:t>
          </w:r>
          <w:r w:rsidRPr="0074722E">
            <w:rPr>
              <w:b/>
            </w:rPr>
            <w:t>“capitale” umano</w:t>
          </w:r>
          <w:r>
            <w:t xml:space="preserve">, per il servizio da assicurare, </w:t>
          </w:r>
          <w:r w:rsidR="009A567E">
            <w:t xml:space="preserve">la </w:t>
          </w:r>
          <w:r>
            <w:t>vera dote,</w:t>
          </w:r>
          <w:r w:rsidR="009A567E">
            <w:t xml:space="preserve"> </w:t>
          </w:r>
          <w:r>
            <w:t xml:space="preserve">oseremmo dire </w:t>
          </w:r>
          <w:r w:rsidRPr="0074722E">
            <w:rPr>
              <w:b/>
            </w:rPr>
            <w:t>il core business</w:t>
          </w:r>
          <w:r>
            <w:t>, della Polizia Stradale,</w:t>
          </w:r>
          <w:r w:rsidR="009A567E">
            <w:t xml:space="preserve"> </w:t>
          </w:r>
          <w:r>
            <w:t>il cui valore, come in uno slancio di altruismo estremo, può arrivare anche al sacrificio della propria vita  .</w:t>
          </w:r>
        </w:p>
        <w:p w:rsidR="009A472D" w:rsidRDefault="009A472D" w:rsidP="009A472D"/>
        <w:p w:rsidR="009A472D" w:rsidRDefault="009A472D" w:rsidP="009A472D"/>
        <w:p w:rsidR="009A472D" w:rsidRDefault="009A472D" w:rsidP="009A472D"/>
        <w:p w:rsidR="009A472D" w:rsidRDefault="009A472D" w:rsidP="009A472D"/>
        <w:p w:rsidR="009A472D" w:rsidRDefault="009A472D" w:rsidP="009A472D"/>
        <w:p w:rsidR="009A472D" w:rsidRDefault="009A472D" w:rsidP="009A472D"/>
        <w:p w:rsidR="009A472D" w:rsidRDefault="009A472D" w:rsidP="009A472D"/>
        <w:p w:rsidR="009A472D" w:rsidRDefault="009A472D" w:rsidP="009A472D"/>
        <w:p w:rsidR="009A472D" w:rsidRDefault="009A472D" w:rsidP="009A472D"/>
        <w:p w:rsidR="009A472D" w:rsidRPr="009A472D" w:rsidRDefault="009A472D" w:rsidP="009A472D">
          <w:pPr>
            <w:jc w:val="center"/>
            <w:rPr>
              <w:b/>
              <w:i/>
              <w:color w:val="5B9BD5" w:themeColor="accent1"/>
              <w:sz w:val="40"/>
              <w:szCs w:val="40"/>
              <w:u w:val="single"/>
            </w:rPr>
          </w:pPr>
          <w:r w:rsidRPr="009A472D">
            <w:rPr>
              <w:b/>
              <w:i/>
              <w:color w:val="5B9BD5" w:themeColor="accent1"/>
              <w:sz w:val="40"/>
              <w:szCs w:val="40"/>
              <w:u w:val="single"/>
            </w:rPr>
            <w:lastRenderedPageBreak/>
            <w:t>MA ORA I DATI</w:t>
          </w:r>
          <w:r>
            <w:rPr>
              <w:b/>
              <w:i/>
              <w:color w:val="5B9BD5" w:themeColor="accent1"/>
              <w:sz w:val="40"/>
              <w:szCs w:val="40"/>
              <w:u w:val="single"/>
            </w:rPr>
            <w:t>!</w:t>
          </w:r>
        </w:p>
        <w:p w:rsidR="00611916" w:rsidRDefault="009A472D" w:rsidP="009A472D">
          <w:pPr>
            <w:jc w:val="center"/>
          </w:pPr>
          <w:r>
            <w:rPr>
              <w:noProof/>
              <w:lang w:eastAsia="it-IT"/>
            </w:rPr>
            <mc:AlternateContent>
              <mc:Choice Requires="wps">
                <w:drawing>
                  <wp:anchor distT="45720" distB="45720" distL="114300" distR="114300" simplePos="0" relativeHeight="251679744" behindDoc="0" locked="0" layoutInCell="1" allowOverlap="1" wp14:anchorId="06AC0D22" wp14:editId="11807F10">
                    <wp:simplePos x="0" y="0"/>
                    <wp:positionH relativeFrom="margin">
                      <wp:align>left</wp:align>
                    </wp:positionH>
                    <wp:positionV relativeFrom="paragraph">
                      <wp:posOffset>-3783</wp:posOffset>
                    </wp:positionV>
                    <wp:extent cx="2949575" cy="45085"/>
                    <wp:effectExtent l="0" t="0" r="3175"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45719"/>
                            </a:xfrm>
                            <a:prstGeom prst="rect">
                              <a:avLst/>
                            </a:prstGeom>
                            <a:solidFill>
                              <a:srgbClr val="FFFFFF"/>
                            </a:solidFill>
                            <a:ln w="9525">
                              <a:noFill/>
                              <a:miter lim="800000"/>
                              <a:headEnd/>
                              <a:tailEnd/>
                            </a:ln>
                          </wps:spPr>
                          <wps:txbx>
                            <w:txbxContent>
                              <w:p w:rsidR="00783FC9" w:rsidRDefault="00783FC9" w:rsidP="00611916">
                                <w:pPr>
                                  <w:spacing w:after="120"/>
                                  <w:jc w:val="center"/>
                                  <w:rPr>
                                    <w:caps/>
                                    <w:color w:val="191919" w:themeColor="text1" w:themeTint="E6"/>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D5D12" id="_x0000_t202" coordsize="21600,21600" o:spt="202" path="m,l,21600r21600,l21600,xe">
                    <v:stroke joinstyle="miter"/>
                    <v:path gradientshapeok="t" o:connecttype="rect"/>
                  </v:shapetype>
                  <v:shape id="Casella di testo 2" o:spid="_x0000_s1026" type="#_x0000_t202" style="position:absolute;left:0;text-align:left;margin-left:0;margin-top:-.3pt;width:232.25pt;height:3.5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" stroked="f">
                    <v:textbox>
                      <w:txbxContent>
                        <w:p w:rsidR="00783FC9" w:rsidRDefault="00783FC9" w:rsidP="00611916">
                          <w:pPr>
                            <w:spacing w:after="120"/>
                            <w:jc w:val="center"/>
                            <w:rPr>
                              <w:caps/>
                              <w:color w:val="191919" w:themeColor="text1" w:themeTint="E6"/>
                              <w:sz w:val="72"/>
                              <w:szCs w:val="72"/>
                            </w:rPr>
                          </w:pPr>
                        </w:p>
                      </w:txbxContent>
                    </v:textbox>
                    <w10:wrap anchorx="margin"/>
                  </v:shape>
                </w:pict>
              </mc:Fallback>
            </mc:AlternateContent>
          </w:r>
        </w:p>
      </w:sdtContent>
    </w:sdt>
    <w:p w:rsidR="00783FC9" w:rsidRDefault="00951282" w:rsidP="009A472D">
      <w:pPr>
        <w:pStyle w:val="Titolo1"/>
        <w:jc w:val="center"/>
      </w:pPr>
      <w:r>
        <w:t>Incidentalità t</w:t>
      </w:r>
      <w:r w:rsidR="00783FC9">
        <w:t xml:space="preserve">ratto Allacciamento A4/A28 – </w:t>
      </w:r>
      <w:r w:rsidR="00052202">
        <w:t>Raccordo RA13</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074"/>
        <w:gridCol w:w="1554"/>
      </w:tblGrid>
      <w:tr w:rsidR="000A2F05" w:rsidRPr="000C29FD" w:rsidTr="006C3C6E">
        <w:trPr>
          <w:trHeight w:val="454"/>
        </w:trPr>
        <w:tc>
          <w:tcPr>
            <w:tcW w:w="4193" w:type="pct"/>
            <w:tcBorders>
              <w:bottom w:val="single" w:sz="4" w:space="0" w:color="auto"/>
            </w:tcBorders>
            <w:shd w:val="clear" w:color="auto" w:fill="D6FFD6"/>
            <w:tcMar>
              <w:top w:w="22" w:type="dxa"/>
              <w:left w:w="22" w:type="dxa"/>
              <w:bottom w:w="0" w:type="dxa"/>
              <w:right w:w="22" w:type="dxa"/>
            </w:tcMar>
            <w:vAlign w:val="center"/>
            <w:hideMark/>
          </w:tcPr>
          <w:p w:rsidR="000A2F05" w:rsidRPr="000C29FD" w:rsidRDefault="000A2F05" w:rsidP="000A2F05">
            <w:pPr>
              <w:spacing w:after="0"/>
              <w:jc w:val="left"/>
              <w:rPr>
                <w:szCs w:val="24"/>
              </w:rPr>
            </w:pPr>
            <w:r>
              <w:rPr>
                <w:b/>
                <w:bCs/>
                <w:szCs w:val="24"/>
              </w:rPr>
              <w:t>Incidenti avvenuti sulle carreggiate in direzione Trieste</w:t>
            </w:r>
          </w:p>
        </w:tc>
        <w:tc>
          <w:tcPr>
            <w:tcW w:w="807" w:type="pct"/>
            <w:tcBorders>
              <w:bottom w:val="single" w:sz="4" w:space="0" w:color="auto"/>
            </w:tcBorders>
            <w:shd w:val="clear" w:color="auto" w:fill="D6FFD6"/>
            <w:tcMar>
              <w:top w:w="22" w:type="dxa"/>
              <w:left w:w="22" w:type="dxa"/>
              <w:bottom w:w="0" w:type="dxa"/>
              <w:right w:w="22" w:type="dxa"/>
            </w:tcMar>
            <w:vAlign w:val="center"/>
            <w:hideMark/>
          </w:tcPr>
          <w:p w:rsidR="000A2F05" w:rsidRDefault="000A2F05" w:rsidP="00ED0C93">
            <w:pPr>
              <w:spacing w:after="0"/>
              <w:jc w:val="center"/>
              <w:rPr>
                <w:b/>
                <w:bCs/>
                <w:szCs w:val="24"/>
              </w:rPr>
            </w:pPr>
            <w:r>
              <w:rPr>
                <w:b/>
                <w:bCs/>
                <w:szCs w:val="24"/>
              </w:rPr>
              <w:t>N. incidenti</w:t>
            </w:r>
          </w:p>
          <w:p w:rsidR="00951282" w:rsidRPr="000C29FD" w:rsidRDefault="00951282" w:rsidP="00ED0C93">
            <w:pPr>
              <w:spacing w:after="0"/>
              <w:jc w:val="center"/>
              <w:rPr>
                <w:szCs w:val="24"/>
              </w:rPr>
            </w:pPr>
            <w:r>
              <w:rPr>
                <w:b/>
                <w:bCs/>
                <w:szCs w:val="24"/>
              </w:rPr>
              <w:t>2021</w:t>
            </w:r>
          </w:p>
        </w:tc>
      </w:tr>
      <w:tr w:rsidR="000A2F05" w:rsidRPr="000C29FD" w:rsidTr="000530FE">
        <w:trPr>
          <w:trHeight w:val="397"/>
        </w:trPr>
        <w:tc>
          <w:tcPr>
            <w:tcW w:w="4193" w:type="pct"/>
            <w:tcBorders>
              <w:top w:val="single" w:sz="4" w:space="0" w:color="auto"/>
              <w:left w:val="single" w:sz="4" w:space="0" w:color="auto"/>
              <w:bottom w:val="single" w:sz="4" w:space="0" w:color="auto"/>
              <w:right w:val="single" w:sz="4" w:space="0" w:color="auto"/>
            </w:tcBorders>
            <w:shd w:val="clear" w:color="000000" w:fill="E0E0E0"/>
            <w:tcMar>
              <w:top w:w="22" w:type="dxa"/>
              <w:left w:w="22" w:type="dxa"/>
              <w:bottom w:w="0" w:type="dxa"/>
              <w:right w:w="22" w:type="dxa"/>
            </w:tcMar>
            <w:vAlign w:val="center"/>
            <w:hideMark/>
          </w:tcPr>
          <w:p w:rsidR="000A2F05" w:rsidRPr="000C29FD" w:rsidRDefault="000A2F05" w:rsidP="00ED0C93">
            <w:pPr>
              <w:spacing w:after="0"/>
              <w:rPr>
                <w:rFonts w:ascii="Calibri" w:hAnsi="Calibri" w:cs="Calibri"/>
                <w:color w:val="000000"/>
                <w:szCs w:val="24"/>
              </w:rPr>
            </w:pPr>
            <w:r w:rsidRPr="000C29FD">
              <w:rPr>
                <w:rFonts w:ascii="Calibri" w:hAnsi="Calibri" w:cs="Calibri"/>
                <w:color w:val="000000"/>
                <w:szCs w:val="24"/>
              </w:rPr>
              <w:t>Incidenti totali</w:t>
            </w:r>
          </w:p>
        </w:tc>
        <w:tc>
          <w:tcPr>
            <w:tcW w:w="807" w:type="pct"/>
            <w:tcBorders>
              <w:top w:val="single" w:sz="4" w:space="0" w:color="auto"/>
              <w:left w:val="single" w:sz="4" w:space="0" w:color="auto"/>
              <w:bottom w:val="single" w:sz="4" w:space="0" w:color="auto"/>
              <w:right w:val="single" w:sz="4" w:space="0" w:color="auto"/>
            </w:tcBorders>
            <w:shd w:val="clear" w:color="000000" w:fill="E0E0E0"/>
            <w:tcMar>
              <w:top w:w="22" w:type="dxa"/>
              <w:left w:w="22" w:type="dxa"/>
              <w:bottom w:w="0" w:type="dxa"/>
              <w:right w:w="22" w:type="dxa"/>
            </w:tcMar>
            <w:vAlign w:val="center"/>
          </w:tcPr>
          <w:p w:rsidR="000A2F05" w:rsidRPr="00ED0C93" w:rsidRDefault="000A2F05" w:rsidP="00ED0C93">
            <w:pPr>
              <w:spacing w:after="0"/>
              <w:jc w:val="center"/>
              <w:rPr>
                <w:rFonts w:ascii="Calibri" w:hAnsi="Calibri" w:cs="Calibri"/>
                <w:color w:val="000000"/>
                <w:szCs w:val="24"/>
              </w:rPr>
            </w:pPr>
            <w:r w:rsidRPr="00ED0C93">
              <w:rPr>
                <w:rFonts w:ascii="Calibri" w:hAnsi="Calibri" w:cs="Calibri"/>
                <w:color w:val="000000"/>
                <w:szCs w:val="24"/>
              </w:rPr>
              <w:t>88</w:t>
            </w:r>
          </w:p>
        </w:tc>
      </w:tr>
      <w:tr w:rsidR="000A2F05" w:rsidRPr="000C29FD" w:rsidTr="000530FE">
        <w:trPr>
          <w:trHeight w:val="397"/>
        </w:trPr>
        <w:tc>
          <w:tcPr>
            <w:tcW w:w="4193" w:type="pct"/>
            <w:tcBorders>
              <w:top w:val="single" w:sz="4" w:space="0" w:color="auto"/>
              <w:left w:val="single" w:sz="4" w:space="0" w:color="auto"/>
              <w:bottom w:val="single" w:sz="4" w:space="0" w:color="auto"/>
              <w:right w:val="single" w:sz="4" w:space="0" w:color="auto"/>
            </w:tcBorders>
            <w:shd w:val="clear" w:color="000000" w:fill="FFFFFF"/>
            <w:tcMar>
              <w:top w:w="22" w:type="dxa"/>
              <w:left w:w="22" w:type="dxa"/>
              <w:bottom w:w="0" w:type="dxa"/>
              <w:right w:w="22" w:type="dxa"/>
            </w:tcMar>
            <w:vAlign w:val="center"/>
            <w:hideMark/>
          </w:tcPr>
          <w:p w:rsidR="000A2F05" w:rsidRPr="000C29FD" w:rsidRDefault="000A2F05" w:rsidP="00ED0C93">
            <w:pPr>
              <w:spacing w:after="0"/>
              <w:rPr>
                <w:rFonts w:ascii="Calibri" w:hAnsi="Calibri" w:cs="Calibri"/>
                <w:color w:val="000000"/>
                <w:szCs w:val="24"/>
              </w:rPr>
            </w:pPr>
            <w:r w:rsidRPr="000C29FD">
              <w:rPr>
                <w:rFonts w:ascii="Calibri" w:hAnsi="Calibri" w:cs="Calibri"/>
                <w:color w:val="000000"/>
                <w:szCs w:val="24"/>
              </w:rPr>
              <w:t>Incidenti con coinvolgimento di veicoli pesanti</w:t>
            </w:r>
          </w:p>
        </w:tc>
        <w:tc>
          <w:tcPr>
            <w:tcW w:w="807" w:type="pct"/>
            <w:tcBorders>
              <w:top w:val="single" w:sz="4" w:space="0" w:color="auto"/>
              <w:left w:val="single" w:sz="4" w:space="0" w:color="auto"/>
              <w:bottom w:val="single" w:sz="4" w:space="0" w:color="auto"/>
              <w:right w:val="single" w:sz="4" w:space="0" w:color="auto"/>
            </w:tcBorders>
            <w:shd w:val="clear" w:color="000000" w:fill="FFFFFF"/>
            <w:tcMar>
              <w:top w:w="22" w:type="dxa"/>
              <w:left w:w="22" w:type="dxa"/>
              <w:bottom w:w="0" w:type="dxa"/>
              <w:right w:w="22" w:type="dxa"/>
            </w:tcMar>
            <w:vAlign w:val="center"/>
          </w:tcPr>
          <w:p w:rsidR="000A2F05" w:rsidRPr="00ED0C93" w:rsidRDefault="000A2F05" w:rsidP="00ED0C93">
            <w:pPr>
              <w:spacing w:after="0"/>
              <w:jc w:val="center"/>
              <w:rPr>
                <w:rFonts w:ascii="Calibri" w:hAnsi="Calibri" w:cs="Calibri"/>
                <w:color w:val="000000"/>
                <w:szCs w:val="24"/>
              </w:rPr>
            </w:pPr>
            <w:r w:rsidRPr="00ED0C93">
              <w:rPr>
                <w:rFonts w:ascii="Calibri" w:hAnsi="Calibri" w:cs="Calibri"/>
                <w:color w:val="000000"/>
                <w:szCs w:val="24"/>
              </w:rPr>
              <w:t>48</w:t>
            </w:r>
          </w:p>
        </w:tc>
      </w:tr>
      <w:tr w:rsidR="000A2F05" w:rsidRPr="000C29FD" w:rsidTr="000530FE">
        <w:trPr>
          <w:trHeight w:val="397"/>
        </w:trPr>
        <w:tc>
          <w:tcPr>
            <w:tcW w:w="4193" w:type="pct"/>
            <w:tcBorders>
              <w:top w:val="single" w:sz="4" w:space="0" w:color="auto"/>
              <w:left w:val="single" w:sz="4" w:space="0" w:color="auto"/>
              <w:bottom w:val="single" w:sz="4" w:space="0" w:color="auto"/>
              <w:right w:val="single" w:sz="4" w:space="0" w:color="auto"/>
            </w:tcBorders>
            <w:shd w:val="clear" w:color="000000" w:fill="E0E0E0"/>
            <w:tcMar>
              <w:top w:w="22" w:type="dxa"/>
              <w:left w:w="22" w:type="dxa"/>
              <w:bottom w:w="0" w:type="dxa"/>
              <w:right w:w="22" w:type="dxa"/>
            </w:tcMar>
            <w:vAlign w:val="center"/>
            <w:hideMark/>
          </w:tcPr>
          <w:p w:rsidR="000A2F05" w:rsidRPr="000C29FD" w:rsidRDefault="000A2F05" w:rsidP="00ED0C93">
            <w:pPr>
              <w:spacing w:after="0"/>
              <w:rPr>
                <w:rFonts w:ascii="Calibri" w:hAnsi="Calibri" w:cs="Calibri"/>
                <w:color w:val="000000"/>
                <w:szCs w:val="24"/>
              </w:rPr>
            </w:pPr>
            <w:r w:rsidRPr="000C29FD">
              <w:rPr>
                <w:rFonts w:ascii="Calibri" w:hAnsi="Calibri" w:cs="Calibri"/>
                <w:color w:val="000000"/>
                <w:szCs w:val="24"/>
              </w:rPr>
              <w:t>Incidenti con coinvolgimento esclusivo di veicoli pesanti</w:t>
            </w:r>
          </w:p>
        </w:tc>
        <w:tc>
          <w:tcPr>
            <w:tcW w:w="807" w:type="pct"/>
            <w:tcBorders>
              <w:top w:val="single" w:sz="4" w:space="0" w:color="auto"/>
              <w:left w:val="single" w:sz="4" w:space="0" w:color="auto"/>
              <w:bottom w:val="single" w:sz="4" w:space="0" w:color="auto"/>
              <w:right w:val="single" w:sz="4" w:space="0" w:color="auto"/>
            </w:tcBorders>
            <w:shd w:val="clear" w:color="000000" w:fill="E0E0E0"/>
            <w:tcMar>
              <w:top w:w="22" w:type="dxa"/>
              <w:left w:w="22" w:type="dxa"/>
              <w:bottom w:w="0" w:type="dxa"/>
              <w:right w:w="22" w:type="dxa"/>
            </w:tcMar>
            <w:vAlign w:val="center"/>
          </w:tcPr>
          <w:p w:rsidR="000A2F05" w:rsidRPr="00ED0C93" w:rsidRDefault="000A2F05" w:rsidP="00ED0C93">
            <w:pPr>
              <w:spacing w:after="0"/>
              <w:jc w:val="center"/>
              <w:rPr>
                <w:rFonts w:ascii="Calibri" w:hAnsi="Calibri" w:cs="Calibri"/>
                <w:color w:val="000000"/>
                <w:szCs w:val="24"/>
              </w:rPr>
            </w:pPr>
            <w:r w:rsidRPr="00ED0C93">
              <w:rPr>
                <w:rFonts w:ascii="Calibri" w:hAnsi="Calibri" w:cs="Calibri"/>
                <w:color w:val="000000"/>
                <w:szCs w:val="24"/>
              </w:rPr>
              <w:t>17</w:t>
            </w:r>
          </w:p>
        </w:tc>
      </w:tr>
      <w:tr w:rsidR="000A2F05" w:rsidRPr="000C29FD" w:rsidTr="000530FE">
        <w:trPr>
          <w:trHeight w:val="397"/>
        </w:trPr>
        <w:tc>
          <w:tcPr>
            <w:tcW w:w="4193" w:type="pct"/>
            <w:tcBorders>
              <w:top w:val="single" w:sz="4" w:space="0" w:color="auto"/>
              <w:left w:val="single" w:sz="4" w:space="0" w:color="auto"/>
              <w:bottom w:val="single" w:sz="4" w:space="0" w:color="auto"/>
              <w:right w:val="single" w:sz="4" w:space="0" w:color="auto"/>
            </w:tcBorders>
            <w:shd w:val="clear" w:color="000000" w:fill="FFFFFF"/>
            <w:tcMar>
              <w:top w:w="22" w:type="dxa"/>
              <w:left w:w="22" w:type="dxa"/>
              <w:bottom w:w="0" w:type="dxa"/>
              <w:right w:w="22" w:type="dxa"/>
            </w:tcMar>
            <w:vAlign w:val="center"/>
            <w:hideMark/>
          </w:tcPr>
          <w:p w:rsidR="000A2F05" w:rsidRPr="000C29FD" w:rsidRDefault="000A2F05" w:rsidP="00ED0C93">
            <w:pPr>
              <w:spacing w:after="0"/>
              <w:rPr>
                <w:rFonts w:ascii="Calibri" w:hAnsi="Calibri" w:cs="Calibri"/>
                <w:color w:val="000000"/>
                <w:szCs w:val="24"/>
              </w:rPr>
            </w:pPr>
            <w:r w:rsidRPr="000C29FD">
              <w:rPr>
                <w:rFonts w:ascii="Calibri" w:hAnsi="Calibri" w:cs="Calibri"/>
                <w:color w:val="000000"/>
                <w:szCs w:val="24"/>
              </w:rPr>
              <w:t>Incidenti totali con feriti</w:t>
            </w:r>
          </w:p>
        </w:tc>
        <w:tc>
          <w:tcPr>
            <w:tcW w:w="807" w:type="pct"/>
            <w:tcBorders>
              <w:top w:val="single" w:sz="4" w:space="0" w:color="auto"/>
              <w:left w:val="single" w:sz="4" w:space="0" w:color="auto"/>
              <w:bottom w:val="single" w:sz="4" w:space="0" w:color="auto"/>
              <w:right w:val="single" w:sz="4" w:space="0" w:color="auto"/>
            </w:tcBorders>
            <w:shd w:val="clear" w:color="000000" w:fill="FFFFFF"/>
            <w:tcMar>
              <w:top w:w="22" w:type="dxa"/>
              <w:left w:w="22" w:type="dxa"/>
              <w:bottom w:w="0" w:type="dxa"/>
              <w:right w:w="22" w:type="dxa"/>
            </w:tcMar>
            <w:vAlign w:val="center"/>
          </w:tcPr>
          <w:p w:rsidR="000A2F05" w:rsidRPr="00ED0C93" w:rsidRDefault="000A2F05" w:rsidP="00ED0C93">
            <w:pPr>
              <w:spacing w:after="0"/>
              <w:jc w:val="center"/>
              <w:rPr>
                <w:rFonts w:ascii="Calibri" w:hAnsi="Calibri" w:cs="Calibri"/>
                <w:color w:val="000000"/>
                <w:szCs w:val="24"/>
              </w:rPr>
            </w:pPr>
            <w:r w:rsidRPr="00ED0C93">
              <w:rPr>
                <w:rFonts w:ascii="Calibri" w:hAnsi="Calibri" w:cs="Calibri"/>
                <w:color w:val="000000"/>
                <w:szCs w:val="24"/>
              </w:rPr>
              <w:t>16</w:t>
            </w:r>
          </w:p>
        </w:tc>
      </w:tr>
      <w:tr w:rsidR="000A2F05" w:rsidRPr="000C29FD" w:rsidTr="000530FE">
        <w:trPr>
          <w:trHeight w:val="397"/>
        </w:trPr>
        <w:tc>
          <w:tcPr>
            <w:tcW w:w="4193" w:type="pct"/>
            <w:tcBorders>
              <w:top w:val="single" w:sz="4" w:space="0" w:color="auto"/>
              <w:left w:val="single" w:sz="4" w:space="0" w:color="auto"/>
              <w:bottom w:val="single" w:sz="4" w:space="0" w:color="auto"/>
              <w:right w:val="single" w:sz="4" w:space="0" w:color="auto"/>
            </w:tcBorders>
            <w:shd w:val="clear" w:color="000000" w:fill="E0E0E0"/>
            <w:tcMar>
              <w:top w:w="22" w:type="dxa"/>
              <w:left w:w="22" w:type="dxa"/>
              <w:bottom w:w="0" w:type="dxa"/>
              <w:right w:w="22" w:type="dxa"/>
            </w:tcMar>
            <w:vAlign w:val="center"/>
            <w:hideMark/>
          </w:tcPr>
          <w:p w:rsidR="000A2F05" w:rsidRPr="000C29FD" w:rsidRDefault="000A2F05" w:rsidP="00ED0C93">
            <w:pPr>
              <w:spacing w:after="0"/>
              <w:rPr>
                <w:rFonts w:ascii="Calibri" w:hAnsi="Calibri" w:cs="Calibri"/>
                <w:color w:val="000000"/>
                <w:szCs w:val="24"/>
              </w:rPr>
            </w:pPr>
            <w:r w:rsidRPr="000C29FD">
              <w:rPr>
                <w:rFonts w:ascii="Calibri" w:hAnsi="Calibri" w:cs="Calibri"/>
                <w:color w:val="000000"/>
                <w:szCs w:val="24"/>
              </w:rPr>
              <w:t>Incidenti totali con esito mortale</w:t>
            </w:r>
          </w:p>
        </w:tc>
        <w:tc>
          <w:tcPr>
            <w:tcW w:w="807" w:type="pct"/>
            <w:tcBorders>
              <w:top w:val="single" w:sz="4" w:space="0" w:color="auto"/>
              <w:left w:val="single" w:sz="4" w:space="0" w:color="auto"/>
              <w:bottom w:val="single" w:sz="4" w:space="0" w:color="auto"/>
              <w:right w:val="single" w:sz="4" w:space="0" w:color="auto"/>
            </w:tcBorders>
            <w:shd w:val="clear" w:color="000000" w:fill="E0E0E0"/>
            <w:tcMar>
              <w:top w:w="22" w:type="dxa"/>
              <w:left w:w="22" w:type="dxa"/>
              <w:bottom w:w="0" w:type="dxa"/>
              <w:right w:w="22" w:type="dxa"/>
            </w:tcMar>
            <w:vAlign w:val="center"/>
          </w:tcPr>
          <w:p w:rsidR="000A2F05" w:rsidRPr="00ED0C93" w:rsidRDefault="000A2F05" w:rsidP="00ED0C93">
            <w:pPr>
              <w:spacing w:after="0"/>
              <w:jc w:val="center"/>
              <w:rPr>
                <w:rFonts w:ascii="Calibri" w:hAnsi="Calibri" w:cs="Calibri"/>
                <w:color w:val="000000"/>
                <w:szCs w:val="24"/>
              </w:rPr>
            </w:pPr>
            <w:r w:rsidRPr="00ED0C93">
              <w:rPr>
                <w:rFonts w:ascii="Calibri" w:hAnsi="Calibri" w:cs="Calibri"/>
                <w:color w:val="000000"/>
                <w:szCs w:val="24"/>
              </w:rPr>
              <w:t>3</w:t>
            </w:r>
          </w:p>
        </w:tc>
      </w:tr>
      <w:tr w:rsidR="000530FE" w:rsidRPr="000C29FD" w:rsidTr="000530FE">
        <w:trPr>
          <w:trHeight w:val="397"/>
        </w:trPr>
        <w:tc>
          <w:tcPr>
            <w:tcW w:w="4193" w:type="pct"/>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vAlign w:val="center"/>
          </w:tcPr>
          <w:p w:rsidR="000530FE" w:rsidRPr="000C29FD" w:rsidRDefault="000530FE" w:rsidP="00ED0C93">
            <w:pPr>
              <w:spacing w:after="0"/>
              <w:rPr>
                <w:rFonts w:ascii="Calibri" w:hAnsi="Calibri" w:cs="Calibri"/>
                <w:color w:val="000000"/>
                <w:szCs w:val="24"/>
              </w:rPr>
            </w:pPr>
            <w:r>
              <w:rPr>
                <w:rFonts w:ascii="Calibri" w:hAnsi="Calibri" w:cs="Calibri"/>
                <w:color w:val="000000"/>
                <w:szCs w:val="24"/>
              </w:rPr>
              <w:t>Incidenti con danni alle persone</w:t>
            </w:r>
          </w:p>
        </w:tc>
        <w:tc>
          <w:tcPr>
            <w:tcW w:w="807" w:type="pct"/>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vAlign w:val="center"/>
          </w:tcPr>
          <w:p w:rsidR="000530FE" w:rsidRPr="00ED0C93" w:rsidRDefault="000530FE" w:rsidP="00ED0C93">
            <w:pPr>
              <w:spacing w:after="0"/>
              <w:jc w:val="center"/>
              <w:rPr>
                <w:rFonts w:ascii="Calibri" w:hAnsi="Calibri" w:cs="Calibri"/>
                <w:color w:val="000000"/>
                <w:szCs w:val="24"/>
              </w:rPr>
            </w:pPr>
            <w:r>
              <w:rPr>
                <w:rFonts w:ascii="Calibri" w:hAnsi="Calibri" w:cs="Calibri"/>
                <w:color w:val="000000"/>
                <w:szCs w:val="24"/>
              </w:rPr>
              <w:t>19</w:t>
            </w:r>
          </w:p>
        </w:tc>
      </w:tr>
    </w:tbl>
    <w:p w:rsidR="00783FC9" w:rsidRDefault="00783FC9" w:rsidP="00371B6C">
      <w:pPr>
        <w:spacing w:after="2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074"/>
        <w:gridCol w:w="1554"/>
      </w:tblGrid>
      <w:tr w:rsidR="000A2F05" w:rsidRPr="000C29FD" w:rsidTr="006C3C6E">
        <w:trPr>
          <w:trHeight w:val="454"/>
        </w:trPr>
        <w:tc>
          <w:tcPr>
            <w:tcW w:w="4193" w:type="pct"/>
            <w:tcBorders>
              <w:bottom w:val="single" w:sz="4" w:space="0" w:color="auto"/>
            </w:tcBorders>
            <w:shd w:val="clear" w:color="auto" w:fill="D6FFD6"/>
            <w:tcMar>
              <w:top w:w="22" w:type="dxa"/>
              <w:left w:w="22" w:type="dxa"/>
              <w:bottom w:w="0" w:type="dxa"/>
              <w:right w:w="22" w:type="dxa"/>
            </w:tcMar>
            <w:vAlign w:val="center"/>
            <w:hideMark/>
          </w:tcPr>
          <w:p w:rsidR="000A2F05" w:rsidRPr="000C29FD" w:rsidRDefault="000A2F05" w:rsidP="000A2F05">
            <w:pPr>
              <w:spacing w:after="0"/>
              <w:jc w:val="left"/>
              <w:rPr>
                <w:szCs w:val="24"/>
              </w:rPr>
            </w:pPr>
            <w:r>
              <w:rPr>
                <w:b/>
                <w:bCs/>
                <w:szCs w:val="24"/>
              </w:rPr>
              <w:t>Incidenti avvenuti sulle carreggiate in direzione Venezia</w:t>
            </w:r>
          </w:p>
        </w:tc>
        <w:tc>
          <w:tcPr>
            <w:tcW w:w="807" w:type="pct"/>
            <w:tcBorders>
              <w:bottom w:val="single" w:sz="4" w:space="0" w:color="auto"/>
            </w:tcBorders>
            <w:shd w:val="clear" w:color="auto" w:fill="D6FFD6"/>
            <w:tcMar>
              <w:top w:w="22" w:type="dxa"/>
              <w:left w:w="22" w:type="dxa"/>
              <w:bottom w:w="0" w:type="dxa"/>
              <w:right w:w="22" w:type="dxa"/>
            </w:tcMar>
            <w:vAlign w:val="center"/>
            <w:hideMark/>
          </w:tcPr>
          <w:p w:rsidR="000A2F05" w:rsidRDefault="000A2F05" w:rsidP="00F33FDE">
            <w:pPr>
              <w:spacing w:after="0"/>
              <w:jc w:val="center"/>
              <w:rPr>
                <w:b/>
                <w:bCs/>
                <w:szCs w:val="24"/>
              </w:rPr>
            </w:pPr>
            <w:r>
              <w:rPr>
                <w:b/>
                <w:bCs/>
                <w:szCs w:val="24"/>
              </w:rPr>
              <w:t>N. incidenti</w:t>
            </w:r>
          </w:p>
          <w:p w:rsidR="00951282" w:rsidRPr="000C29FD" w:rsidRDefault="00951282" w:rsidP="00F33FDE">
            <w:pPr>
              <w:spacing w:after="0"/>
              <w:jc w:val="center"/>
              <w:rPr>
                <w:szCs w:val="24"/>
              </w:rPr>
            </w:pPr>
            <w:r>
              <w:rPr>
                <w:b/>
                <w:bCs/>
                <w:szCs w:val="24"/>
              </w:rPr>
              <w:t>2021</w:t>
            </w:r>
          </w:p>
        </w:tc>
      </w:tr>
      <w:tr w:rsidR="000A2F05" w:rsidRPr="000C29FD" w:rsidTr="000530FE">
        <w:trPr>
          <w:trHeight w:val="397"/>
        </w:trPr>
        <w:tc>
          <w:tcPr>
            <w:tcW w:w="4193" w:type="pct"/>
            <w:tcBorders>
              <w:top w:val="single" w:sz="4" w:space="0" w:color="auto"/>
              <w:left w:val="single" w:sz="4" w:space="0" w:color="auto"/>
              <w:bottom w:val="single" w:sz="4" w:space="0" w:color="auto"/>
              <w:right w:val="single" w:sz="4" w:space="0" w:color="auto"/>
            </w:tcBorders>
            <w:shd w:val="clear" w:color="000000" w:fill="E0E0E0"/>
            <w:tcMar>
              <w:top w:w="22" w:type="dxa"/>
              <w:left w:w="22" w:type="dxa"/>
              <w:bottom w:w="0" w:type="dxa"/>
              <w:right w:w="22" w:type="dxa"/>
            </w:tcMar>
            <w:vAlign w:val="center"/>
            <w:hideMark/>
          </w:tcPr>
          <w:p w:rsidR="000A2F05" w:rsidRPr="000C29FD" w:rsidRDefault="000A2F05" w:rsidP="00F33FDE">
            <w:pPr>
              <w:spacing w:after="0"/>
              <w:rPr>
                <w:rFonts w:ascii="Calibri" w:hAnsi="Calibri" w:cs="Calibri"/>
                <w:color w:val="000000"/>
                <w:szCs w:val="24"/>
              </w:rPr>
            </w:pPr>
            <w:r w:rsidRPr="000C29FD">
              <w:rPr>
                <w:rFonts w:ascii="Calibri" w:hAnsi="Calibri" w:cs="Calibri"/>
                <w:color w:val="000000"/>
                <w:szCs w:val="24"/>
              </w:rPr>
              <w:t>Incidenti totali</w:t>
            </w:r>
          </w:p>
        </w:tc>
        <w:tc>
          <w:tcPr>
            <w:tcW w:w="807" w:type="pct"/>
            <w:tcBorders>
              <w:top w:val="single" w:sz="4" w:space="0" w:color="auto"/>
              <w:left w:val="single" w:sz="4" w:space="0" w:color="auto"/>
              <w:bottom w:val="single" w:sz="4" w:space="0" w:color="auto"/>
              <w:right w:val="single" w:sz="4" w:space="0" w:color="auto"/>
            </w:tcBorders>
            <w:shd w:val="clear" w:color="000000" w:fill="E0E0E0"/>
            <w:tcMar>
              <w:top w:w="22" w:type="dxa"/>
              <w:left w:w="22" w:type="dxa"/>
              <w:bottom w:w="0" w:type="dxa"/>
              <w:right w:w="22" w:type="dxa"/>
            </w:tcMar>
            <w:vAlign w:val="center"/>
          </w:tcPr>
          <w:p w:rsidR="000A2F05" w:rsidRPr="00ED0C93" w:rsidRDefault="000A2F05" w:rsidP="00F33FDE">
            <w:pPr>
              <w:spacing w:after="0"/>
              <w:jc w:val="center"/>
              <w:rPr>
                <w:rFonts w:ascii="Calibri" w:hAnsi="Calibri" w:cs="Calibri"/>
                <w:color w:val="000000"/>
                <w:szCs w:val="24"/>
              </w:rPr>
            </w:pPr>
            <w:r w:rsidRPr="00ED0C93">
              <w:rPr>
                <w:rFonts w:ascii="Calibri" w:hAnsi="Calibri" w:cs="Calibri"/>
                <w:color w:val="000000"/>
                <w:szCs w:val="24"/>
              </w:rPr>
              <w:t>106</w:t>
            </w:r>
          </w:p>
        </w:tc>
      </w:tr>
      <w:tr w:rsidR="000A2F05" w:rsidRPr="000C29FD" w:rsidTr="000530FE">
        <w:trPr>
          <w:trHeight w:val="397"/>
        </w:trPr>
        <w:tc>
          <w:tcPr>
            <w:tcW w:w="4193" w:type="pct"/>
            <w:tcBorders>
              <w:top w:val="single" w:sz="4" w:space="0" w:color="auto"/>
              <w:left w:val="single" w:sz="4" w:space="0" w:color="auto"/>
              <w:bottom w:val="single" w:sz="4" w:space="0" w:color="auto"/>
              <w:right w:val="single" w:sz="4" w:space="0" w:color="auto"/>
            </w:tcBorders>
            <w:shd w:val="clear" w:color="000000" w:fill="FFFFFF"/>
            <w:tcMar>
              <w:top w:w="22" w:type="dxa"/>
              <w:left w:w="22" w:type="dxa"/>
              <w:bottom w:w="0" w:type="dxa"/>
              <w:right w:w="22" w:type="dxa"/>
            </w:tcMar>
            <w:vAlign w:val="center"/>
            <w:hideMark/>
          </w:tcPr>
          <w:p w:rsidR="000A2F05" w:rsidRPr="000C29FD" w:rsidRDefault="000A2F05" w:rsidP="00F33FDE">
            <w:pPr>
              <w:spacing w:after="0"/>
              <w:rPr>
                <w:rFonts w:ascii="Calibri" w:hAnsi="Calibri" w:cs="Calibri"/>
                <w:color w:val="000000"/>
                <w:szCs w:val="24"/>
              </w:rPr>
            </w:pPr>
            <w:r w:rsidRPr="000C29FD">
              <w:rPr>
                <w:rFonts w:ascii="Calibri" w:hAnsi="Calibri" w:cs="Calibri"/>
                <w:color w:val="000000"/>
                <w:szCs w:val="24"/>
              </w:rPr>
              <w:t>Incidenti con coinvolgimento di veicoli pesanti</w:t>
            </w:r>
          </w:p>
        </w:tc>
        <w:tc>
          <w:tcPr>
            <w:tcW w:w="807" w:type="pct"/>
            <w:tcBorders>
              <w:top w:val="single" w:sz="4" w:space="0" w:color="auto"/>
              <w:left w:val="single" w:sz="4" w:space="0" w:color="auto"/>
              <w:bottom w:val="single" w:sz="4" w:space="0" w:color="auto"/>
              <w:right w:val="single" w:sz="4" w:space="0" w:color="auto"/>
            </w:tcBorders>
            <w:shd w:val="clear" w:color="000000" w:fill="FFFFFF"/>
            <w:tcMar>
              <w:top w:w="22" w:type="dxa"/>
              <w:left w:w="22" w:type="dxa"/>
              <w:bottom w:w="0" w:type="dxa"/>
              <w:right w:w="22" w:type="dxa"/>
            </w:tcMar>
            <w:vAlign w:val="center"/>
          </w:tcPr>
          <w:p w:rsidR="000A2F05" w:rsidRPr="00ED0C93" w:rsidRDefault="000A2F05" w:rsidP="00F33FDE">
            <w:pPr>
              <w:spacing w:after="0"/>
              <w:jc w:val="center"/>
              <w:rPr>
                <w:rFonts w:ascii="Calibri" w:hAnsi="Calibri" w:cs="Calibri"/>
                <w:color w:val="000000"/>
                <w:szCs w:val="24"/>
              </w:rPr>
            </w:pPr>
            <w:r w:rsidRPr="00ED0C93">
              <w:rPr>
                <w:rFonts w:ascii="Calibri" w:hAnsi="Calibri" w:cs="Calibri"/>
                <w:color w:val="000000"/>
                <w:szCs w:val="24"/>
              </w:rPr>
              <w:t>61</w:t>
            </w:r>
          </w:p>
        </w:tc>
      </w:tr>
      <w:tr w:rsidR="000A2F05" w:rsidRPr="000C29FD" w:rsidTr="000530FE">
        <w:trPr>
          <w:trHeight w:val="397"/>
        </w:trPr>
        <w:tc>
          <w:tcPr>
            <w:tcW w:w="4193" w:type="pct"/>
            <w:tcBorders>
              <w:top w:val="single" w:sz="4" w:space="0" w:color="auto"/>
              <w:left w:val="single" w:sz="4" w:space="0" w:color="auto"/>
              <w:bottom w:val="single" w:sz="4" w:space="0" w:color="auto"/>
              <w:right w:val="single" w:sz="4" w:space="0" w:color="auto"/>
            </w:tcBorders>
            <w:shd w:val="clear" w:color="000000" w:fill="E0E0E0"/>
            <w:tcMar>
              <w:top w:w="22" w:type="dxa"/>
              <w:left w:w="22" w:type="dxa"/>
              <w:bottom w:w="0" w:type="dxa"/>
              <w:right w:w="22" w:type="dxa"/>
            </w:tcMar>
            <w:vAlign w:val="center"/>
            <w:hideMark/>
          </w:tcPr>
          <w:p w:rsidR="000A2F05" w:rsidRPr="000C29FD" w:rsidRDefault="000A2F05" w:rsidP="00F33FDE">
            <w:pPr>
              <w:spacing w:after="0"/>
              <w:rPr>
                <w:rFonts w:ascii="Calibri" w:hAnsi="Calibri" w:cs="Calibri"/>
                <w:color w:val="000000"/>
                <w:szCs w:val="24"/>
              </w:rPr>
            </w:pPr>
            <w:r w:rsidRPr="000C29FD">
              <w:rPr>
                <w:rFonts w:ascii="Calibri" w:hAnsi="Calibri" w:cs="Calibri"/>
                <w:color w:val="000000"/>
                <w:szCs w:val="24"/>
              </w:rPr>
              <w:t>Incidenti con coinvolgimento esclusivo di veicoli pesanti</w:t>
            </w:r>
          </w:p>
        </w:tc>
        <w:tc>
          <w:tcPr>
            <w:tcW w:w="807" w:type="pct"/>
            <w:tcBorders>
              <w:top w:val="single" w:sz="4" w:space="0" w:color="auto"/>
              <w:left w:val="single" w:sz="4" w:space="0" w:color="auto"/>
              <w:bottom w:val="single" w:sz="4" w:space="0" w:color="auto"/>
              <w:right w:val="single" w:sz="4" w:space="0" w:color="auto"/>
            </w:tcBorders>
            <w:shd w:val="clear" w:color="000000" w:fill="E0E0E0"/>
            <w:tcMar>
              <w:top w:w="22" w:type="dxa"/>
              <w:left w:w="22" w:type="dxa"/>
              <w:bottom w:w="0" w:type="dxa"/>
              <w:right w:w="22" w:type="dxa"/>
            </w:tcMar>
            <w:vAlign w:val="center"/>
          </w:tcPr>
          <w:p w:rsidR="000A2F05" w:rsidRPr="00ED0C93" w:rsidRDefault="000A2F05" w:rsidP="00F33FDE">
            <w:pPr>
              <w:spacing w:after="0"/>
              <w:jc w:val="center"/>
              <w:rPr>
                <w:rFonts w:ascii="Calibri" w:hAnsi="Calibri" w:cs="Calibri"/>
                <w:color w:val="000000"/>
                <w:szCs w:val="24"/>
              </w:rPr>
            </w:pPr>
            <w:r w:rsidRPr="00ED0C93">
              <w:rPr>
                <w:rFonts w:ascii="Calibri" w:hAnsi="Calibri" w:cs="Calibri"/>
                <w:color w:val="000000"/>
                <w:szCs w:val="24"/>
              </w:rPr>
              <w:t>37</w:t>
            </w:r>
          </w:p>
        </w:tc>
      </w:tr>
      <w:tr w:rsidR="000A2F05" w:rsidRPr="000C29FD" w:rsidTr="000530FE">
        <w:trPr>
          <w:trHeight w:val="397"/>
        </w:trPr>
        <w:tc>
          <w:tcPr>
            <w:tcW w:w="4193" w:type="pct"/>
            <w:tcBorders>
              <w:top w:val="single" w:sz="4" w:space="0" w:color="auto"/>
              <w:left w:val="single" w:sz="4" w:space="0" w:color="auto"/>
              <w:bottom w:val="single" w:sz="4" w:space="0" w:color="auto"/>
              <w:right w:val="single" w:sz="4" w:space="0" w:color="auto"/>
            </w:tcBorders>
            <w:shd w:val="clear" w:color="000000" w:fill="FFFFFF"/>
            <w:tcMar>
              <w:top w:w="22" w:type="dxa"/>
              <w:left w:w="22" w:type="dxa"/>
              <w:bottom w:w="0" w:type="dxa"/>
              <w:right w:w="22" w:type="dxa"/>
            </w:tcMar>
            <w:vAlign w:val="center"/>
            <w:hideMark/>
          </w:tcPr>
          <w:p w:rsidR="000A2F05" w:rsidRPr="000C29FD" w:rsidRDefault="000A2F05" w:rsidP="00F33FDE">
            <w:pPr>
              <w:spacing w:after="0"/>
              <w:rPr>
                <w:rFonts w:ascii="Calibri" w:hAnsi="Calibri" w:cs="Calibri"/>
                <w:color w:val="000000"/>
                <w:szCs w:val="24"/>
              </w:rPr>
            </w:pPr>
            <w:r w:rsidRPr="000C29FD">
              <w:rPr>
                <w:rFonts w:ascii="Calibri" w:hAnsi="Calibri" w:cs="Calibri"/>
                <w:color w:val="000000"/>
                <w:szCs w:val="24"/>
              </w:rPr>
              <w:t>Incidenti totali con feriti</w:t>
            </w:r>
          </w:p>
        </w:tc>
        <w:tc>
          <w:tcPr>
            <w:tcW w:w="807" w:type="pct"/>
            <w:tcBorders>
              <w:top w:val="single" w:sz="4" w:space="0" w:color="auto"/>
              <w:left w:val="single" w:sz="4" w:space="0" w:color="auto"/>
              <w:bottom w:val="single" w:sz="4" w:space="0" w:color="auto"/>
              <w:right w:val="single" w:sz="4" w:space="0" w:color="auto"/>
            </w:tcBorders>
            <w:shd w:val="clear" w:color="000000" w:fill="FFFFFF"/>
            <w:tcMar>
              <w:top w:w="22" w:type="dxa"/>
              <w:left w:w="22" w:type="dxa"/>
              <w:bottom w:w="0" w:type="dxa"/>
              <w:right w:w="22" w:type="dxa"/>
            </w:tcMar>
            <w:vAlign w:val="center"/>
          </w:tcPr>
          <w:p w:rsidR="000A2F05" w:rsidRPr="00ED0C93" w:rsidRDefault="000A2F05" w:rsidP="00F33FDE">
            <w:pPr>
              <w:spacing w:after="0"/>
              <w:jc w:val="center"/>
              <w:rPr>
                <w:rFonts w:ascii="Calibri" w:hAnsi="Calibri" w:cs="Calibri"/>
                <w:color w:val="000000"/>
                <w:szCs w:val="24"/>
              </w:rPr>
            </w:pPr>
            <w:r w:rsidRPr="00ED0C93">
              <w:rPr>
                <w:rFonts w:ascii="Calibri" w:hAnsi="Calibri" w:cs="Calibri"/>
                <w:color w:val="000000"/>
                <w:szCs w:val="24"/>
              </w:rPr>
              <w:t>19</w:t>
            </w:r>
          </w:p>
        </w:tc>
      </w:tr>
      <w:tr w:rsidR="000A2F05" w:rsidRPr="000C29FD" w:rsidTr="000530FE">
        <w:trPr>
          <w:trHeight w:val="397"/>
        </w:trPr>
        <w:tc>
          <w:tcPr>
            <w:tcW w:w="4193" w:type="pct"/>
            <w:tcBorders>
              <w:top w:val="single" w:sz="4" w:space="0" w:color="auto"/>
              <w:left w:val="single" w:sz="4" w:space="0" w:color="auto"/>
              <w:bottom w:val="single" w:sz="4" w:space="0" w:color="auto"/>
              <w:right w:val="single" w:sz="4" w:space="0" w:color="auto"/>
            </w:tcBorders>
            <w:shd w:val="clear" w:color="000000" w:fill="E0E0E0"/>
            <w:tcMar>
              <w:top w:w="22" w:type="dxa"/>
              <w:left w:w="22" w:type="dxa"/>
              <w:bottom w:w="0" w:type="dxa"/>
              <w:right w:w="22" w:type="dxa"/>
            </w:tcMar>
            <w:vAlign w:val="center"/>
            <w:hideMark/>
          </w:tcPr>
          <w:p w:rsidR="000A2F05" w:rsidRPr="000C29FD" w:rsidRDefault="000A2F05" w:rsidP="00F33FDE">
            <w:pPr>
              <w:spacing w:after="0"/>
              <w:rPr>
                <w:rFonts w:ascii="Calibri" w:hAnsi="Calibri" w:cs="Calibri"/>
                <w:color w:val="000000"/>
                <w:szCs w:val="24"/>
              </w:rPr>
            </w:pPr>
            <w:r w:rsidRPr="000C29FD">
              <w:rPr>
                <w:rFonts w:ascii="Calibri" w:hAnsi="Calibri" w:cs="Calibri"/>
                <w:color w:val="000000"/>
                <w:szCs w:val="24"/>
              </w:rPr>
              <w:t>Incidenti totali con esito mortale</w:t>
            </w:r>
          </w:p>
        </w:tc>
        <w:tc>
          <w:tcPr>
            <w:tcW w:w="807" w:type="pct"/>
            <w:tcBorders>
              <w:top w:val="single" w:sz="4" w:space="0" w:color="auto"/>
              <w:left w:val="single" w:sz="4" w:space="0" w:color="auto"/>
              <w:bottom w:val="single" w:sz="4" w:space="0" w:color="auto"/>
              <w:right w:val="single" w:sz="4" w:space="0" w:color="auto"/>
            </w:tcBorders>
            <w:shd w:val="clear" w:color="000000" w:fill="E0E0E0"/>
            <w:tcMar>
              <w:top w:w="22" w:type="dxa"/>
              <w:left w:w="22" w:type="dxa"/>
              <w:bottom w:w="0" w:type="dxa"/>
              <w:right w:w="22" w:type="dxa"/>
            </w:tcMar>
            <w:vAlign w:val="center"/>
          </w:tcPr>
          <w:p w:rsidR="000A2F05" w:rsidRPr="00ED0C93" w:rsidRDefault="000A2F05" w:rsidP="00F33FDE">
            <w:pPr>
              <w:spacing w:after="0"/>
              <w:jc w:val="center"/>
              <w:rPr>
                <w:rFonts w:ascii="Calibri" w:hAnsi="Calibri" w:cs="Calibri"/>
                <w:color w:val="000000"/>
                <w:szCs w:val="24"/>
              </w:rPr>
            </w:pPr>
            <w:r w:rsidRPr="00ED0C93">
              <w:rPr>
                <w:rFonts w:ascii="Calibri" w:hAnsi="Calibri" w:cs="Calibri"/>
                <w:color w:val="000000"/>
                <w:szCs w:val="24"/>
              </w:rPr>
              <w:t>3</w:t>
            </w:r>
          </w:p>
        </w:tc>
      </w:tr>
      <w:tr w:rsidR="000530FE" w:rsidRPr="000C29FD" w:rsidTr="000530FE">
        <w:trPr>
          <w:trHeight w:val="397"/>
        </w:trPr>
        <w:tc>
          <w:tcPr>
            <w:tcW w:w="4193" w:type="pct"/>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vAlign w:val="center"/>
          </w:tcPr>
          <w:p w:rsidR="000530FE" w:rsidRPr="000C29FD" w:rsidRDefault="000530FE" w:rsidP="00F33FDE">
            <w:pPr>
              <w:spacing w:after="0"/>
              <w:rPr>
                <w:rFonts w:ascii="Calibri" w:hAnsi="Calibri" w:cs="Calibri"/>
                <w:color w:val="000000"/>
                <w:szCs w:val="24"/>
              </w:rPr>
            </w:pPr>
            <w:r>
              <w:rPr>
                <w:rFonts w:ascii="Calibri" w:hAnsi="Calibri" w:cs="Calibri"/>
                <w:color w:val="000000"/>
                <w:szCs w:val="24"/>
              </w:rPr>
              <w:t>Incidenti con danni alle persone</w:t>
            </w:r>
          </w:p>
        </w:tc>
        <w:tc>
          <w:tcPr>
            <w:tcW w:w="807" w:type="pct"/>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vAlign w:val="center"/>
          </w:tcPr>
          <w:p w:rsidR="000530FE" w:rsidRPr="00ED0C93" w:rsidRDefault="000530FE" w:rsidP="00F33FDE">
            <w:pPr>
              <w:spacing w:after="0"/>
              <w:jc w:val="center"/>
              <w:rPr>
                <w:rFonts w:ascii="Calibri" w:hAnsi="Calibri" w:cs="Calibri"/>
                <w:color w:val="000000"/>
                <w:szCs w:val="24"/>
              </w:rPr>
            </w:pPr>
            <w:r>
              <w:rPr>
                <w:rFonts w:ascii="Calibri" w:hAnsi="Calibri" w:cs="Calibri"/>
                <w:color w:val="000000"/>
                <w:szCs w:val="24"/>
              </w:rPr>
              <w:t>22</w:t>
            </w:r>
          </w:p>
        </w:tc>
      </w:tr>
    </w:tbl>
    <w:p w:rsidR="000A2F05" w:rsidRDefault="000A2F05" w:rsidP="00371B6C">
      <w:pPr>
        <w:spacing w:after="2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074"/>
        <w:gridCol w:w="1554"/>
      </w:tblGrid>
      <w:tr w:rsidR="000A2F05" w:rsidRPr="000C29FD" w:rsidTr="006C3C6E">
        <w:trPr>
          <w:trHeight w:val="454"/>
        </w:trPr>
        <w:tc>
          <w:tcPr>
            <w:tcW w:w="4193" w:type="pct"/>
            <w:tcBorders>
              <w:bottom w:val="single" w:sz="4" w:space="0" w:color="auto"/>
            </w:tcBorders>
            <w:shd w:val="clear" w:color="auto" w:fill="D6FFD6"/>
            <w:tcMar>
              <w:top w:w="22" w:type="dxa"/>
              <w:left w:w="22" w:type="dxa"/>
              <w:bottom w:w="0" w:type="dxa"/>
              <w:right w:w="22" w:type="dxa"/>
            </w:tcMar>
            <w:vAlign w:val="center"/>
            <w:hideMark/>
          </w:tcPr>
          <w:p w:rsidR="000A2F05" w:rsidRPr="000C29FD" w:rsidRDefault="000A2F05" w:rsidP="000A2F05">
            <w:pPr>
              <w:spacing w:after="0"/>
              <w:jc w:val="left"/>
              <w:rPr>
                <w:szCs w:val="24"/>
              </w:rPr>
            </w:pPr>
            <w:r>
              <w:rPr>
                <w:b/>
                <w:bCs/>
                <w:szCs w:val="24"/>
              </w:rPr>
              <w:t>Incidenti avvenuti sulle carreggiate in entrambe le direzioni di marcia</w:t>
            </w:r>
          </w:p>
        </w:tc>
        <w:tc>
          <w:tcPr>
            <w:tcW w:w="807" w:type="pct"/>
            <w:tcBorders>
              <w:bottom w:val="single" w:sz="4" w:space="0" w:color="auto"/>
            </w:tcBorders>
            <w:shd w:val="clear" w:color="auto" w:fill="D6FFD6"/>
            <w:tcMar>
              <w:top w:w="22" w:type="dxa"/>
              <w:left w:w="22" w:type="dxa"/>
              <w:bottom w:w="0" w:type="dxa"/>
              <w:right w:w="22" w:type="dxa"/>
            </w:tcMar>
            <w:vAlign w:val="center"/>
            <w:hideMark/>
          </w:tcPr>
          <w:p w:rsidR="000A2F05" w:rsidRDefault="000A2F05" w:rsidP="00F33FDE">
            <w:pPr>
              <w:spacing w:after="0"/>
              <w:jc w:val="center"/>
              <w:rPr>
                <w:b/>
                <w:bCs/>
                <w:szCs w:val="24"/>
              </w:rPr>
            </w:pPr>
            <w:r>
              <w:rPr>
                <w:b/>
                <w:bCs/>
                <w:szCs w:val="24"/>
              </w:rPr>
              <w:t>N. incidenti</w:t>
            </w:r>
          </w:p>
          <w:p w:rsidR="00951282" w:rsidRPr="000C29FD" w:rsidRDefault="00951282" w:rsidP="00F33FDE">
            <w:pPr>
              <w:spacing w:after="0"/>
              <w:jc w:val="center"/>
              <w:rPr>
                <w:b/>
                <w:bCs/>
                <w:szCs w:val="24"/>
              </w:rPr>
            </w:pPr>
            <w:r>
              <w:rPr>
                <w:b/>
                <w:bCs/>
                <w:szCs w:val="24"/>
              </w:rPr>
              <w:t>2021</w:t>
            </w:r>
          </w:p>
        </w:tc>
      </w:tr>
      <w:tr w:rsidR="000A2F05" w:rsidRPr="000C29FD" w:rsidTr="000530FE">
        <w:trPr>
          <w:trHeight w:val="397"/>
        </w:trPr>
        <w:tc>
          <w:tcPr>
            <w:tcW w:w="4193" w:type="pct"/>
            <w:tcBorders>
              <w:top w:val="single" w:sz="4" w:space="0" w:color="auto"/>
              <w:left w:val="single" w:sz="4" w:space="0" w:color="auto"/>
              <w:bottom w:val="single" w:sz="4" w:space="0" w:color="auto"/>
              <w:right w:val="single" w:sz="4" w:space="0" w:color="auto"/>
            </w:tcBorders>
            <w:shd w:val="clear" w:color="000000" w:fill="E0E0E0"/>
            <w:tcMar>
              <w:top w:w="22" w:type="dxa"/>
              <w:left w:w="22" w:type="dxa"/>
              <w:bottom w:w="0" w:type="dxa"/>
              <w:right w:w="22" w:type="dxa"/>
            </w:tcMar>
            <w:vAlign w:val="center"/>
            <w:hideMark/>
          </w:tcPr>
          <w:p w:rsidR="000A2F05" w:rsidRPr="000C29FD" w:rsidRDefault="000A2F05" w:rsidP="00F33FDE">
            <w:pPr>
              <w:spacing w:after="0"/>
              <w:rPr>
                <w:rFonts w:ascii="Calibri" w:hAnsi="Calibri" w:cs="Calibri"/>
                <w:color w:val="000000"/>
                <w:szCs w:val="24"/>
              </w:rPr>
            </w:pPr>
            <w:r w:rsidRPr="000C29FD">
              <w:rPr>
                <w:rFonts w:ascii="Calibri" w:hAnsi="Calibri" w:cs="Calibri"/>
                <w:color w:val="000000"/>
                <w:szCs w:val="24"/>
              </w:rPr>
              <w:t>Incidenti totali</w:t>
            </w:r>
          </w:p>
        </w:tc>
        <w:tc>
          <w:tcPr>
            <w:tcW w:w="807" w:type="pct"/>
            <w:tcBorders>
              <w:top w:val="single" w:sz="4" w:space="0" w:color="auto"/>
              <w:left w:val="single" w:sz="4" w:space="0" w:color="auto"/>
              <w:bottom w:val="single" w:sz="4" w:space="0" w:color="auto"/>
              <w:right w:val="single" w:sz="4" w:space="0" w:color="auto"/>
            </w:tcBorders>
            <w:shd w:val="clear" w:color="000000" w:fill="E0E0E0"/>
            <w:tcMar>
              <w:top w:w="22" w:type="dxa"/>
              <w:left w:w="22" w:type="dxa"/>
              <w:bottom w:w="0" w:type="dxa"/>
              <w:right w:w="22" w:type="dxa"/>
            </w:tcMar>
            <w:vAlign w:val="center"/>
          </w:tcPr>
          <w:p w:rsidR="000A2F05" w:rsidRPr="00ED0C93" w:rsidRDefault="000A2F05" w:rsidP="00F33FDE">
            <w:pPr>
              <w:spacing w:after="0"/>
              <w:jc w:val="center"/>
              <w:rPr>
                <w:rFonts w:ascii="Calibri" w:hAnsi="Calibri" w:cs="Calibri"/>
                <w:color w:val="000000"/>
                <w:szCs w:val="24"/>
              </w:rPr>
            </w:pPr>
            <w:r w:rsidRPr="00ED0C93">
              <w:rPr>
                <w:rFonts w:ascii="Calibri" w:hAnsi="Calibri" w:cs="Calibri"/>
                <w:color w:val="000000"/>
                <w:szCs w:val="24"/>
              </w:rPr>
              <w:t>194</w:t>
            </w:r>
          </w:p>
        </w:tc>
      </w:tr>
      <w:tr w:rsidR="000A2F05" w:rsidRPr="000C29FD" w:rsidTr="000530FE">
        <w:trPr>
          <w:trHeight w:val="397"/>
        </w:trPr>
        <w:tc>
          <w:tcPr>
            <w:tcW w:w="4193" w:type="pct"/>
            <w:tcBorders>
              <w:top w:val="single" w:sz="4" w:space="0" w:color="auto"/>
              <w:left w:val="single" w:sz="4" w:space="0" w:color="auto"/>
              <w:bottom w:val="single" w:sz="4" w:space="0" w:color="auto"/>
              <w:right w:val="single" w:sz="4" w:space="0" w:color="auto"/>
            </w:tcBorders>
            <w:shd w:val="clear" w:color="000000" w:fill="FFFFFF"/>
            <w:tcMar>
              <w:top w:w="22" w:type="dxa"/>
              <w:left w:w="22" w:type="dxa"/>
              <w:bottom w:w="0" w:type="dxa"/>
              <w:right w:w="22" w:type="dxa"/>
            </w:tcMar>
            <w:vAlign w:val="center"/>
            <w:hideMark/>
          </w:tcPr>
          <w:p w:rsidR="000A2F05" w:rsidRPr="000C29FD" w:rsidRDefault="000A2F05" w:rsidP="00F33FDE">
            <w:pPr>
              <w:spacing w:after="0"/>
              <w:rPr>
                <w:rFonts w:ascii="Calibri" w:hAnsi="Calibri" w:cs="Calibri"/>
                <w:color w:val="000000"/>
                <w:szCs w:val="24"/>
              </w:rPr>
            </w:pPr>
            <w:r w:rsidRPr="000C29FD">
              <w:rPr>
                <w:rFonts w:ascii="Calibri" w:hAnsi="Calibri" w:cs="Calibri"/>
                <w:color w:val="000000"/>
                <w:szCs w:val="24"/>
              </w:rPr>
              <w:t>Incidenti con coinvolgimento di veicoli pesanti</w:t>
            </w:r>
          </w:p>
        </w:tc>
        <w:tc>
          <w:tcPr>
            <w:tcW w:w="807" w:type="pct"/>
            <w:tcBorders>
              <w:top w:val="single" w:sz="4" w:space="0" w:color="auto"/>
              <w:left w:val="single" w:sz="4" w:space="0" w:color="auto"/>
              <w:bottom w:val="single" w:sz="4" w:space="0" w:color="auto"/>
              <w:right w:val="single" w:sz="4" w:space="0" w:color="auto"/>
            </w:tcBorders>
            <w:shd w:val="clear" w:color="000000" w:fill="FFFFFF"/>
            <w:tcMar>
              <w:top w:w="22" w:type="dxa"/>
              <w:left w:w="22" w:type="dxa"/>
              <w:bottom w:w="0" w:type="dxa"/>
              <w:right w:w="22" w:type="dxa"/>
            </w:tcMar>
            <w:vAlign w:val="center"/>
          </w:tcPr>
          <w:p w:rsidR="000A2F05" w:rsidRPr="00ED0C93" w:rsidRDefault="000A2F05" w:rsidP="00F33FDE">
            <w:pPr>
              <w:spacing w:after="0"/>
              <w:jc w:val="center"/>
              <w:rPr>
                <w:rFonts w:ascii="Calibri" w:hAnsi="Calibri" w:cs="Calibri"/>
                <w:color w:val="000000"/>
                <w:szCs w:val="24"/>
              </w:rPr>
            </w:pPr>
            <w:r w:rsidRPr="00ED0C93">
              <w:rPr>
                <w:rFonts w:ascii="Calibri" w:hAnsi="Calibri" w:cs="Calibri"/>
                <w:color w:val="000000"/>
                <w:szCs w:val="24"/>
              </w:rPr>
              <w:t>109</w:t>
            </w:r>
          </w:p>
        </w:tc>
      </w:tr>
      <w:tr w:rsidR="000A2F05" w:rsidRPr="000C29FD" w:rsidTr="000530FE">
        <w:trPr>
          <w:trHeight w:val="397"/>
        </w:trPr>
        <w:tc>
          <w:tcPr>
            <w:tcW w:w="4193" w:type="pct"/>
            <w:tcBorders>
              <w:top w:val="single" w:sz="4" w:space="0" w:color="auto"/>
              <w:left w:val="single" w:sz="4" w:space="0" w:color="auto"/>
              <w:bottom w:val="single" w:sz="4" w:space="0" w:color="auto"/>
              <w:right w:val="single" w:sz="4" w:space="0" w:color="auto"/>
            </w:tcBorders>
            <w:shd w:val="clear" w:color="000000" w:fill="E0E0E0"/>
            <w:tcMar>
              <w:top w:w="22" w:type="dxa"/>
              <w:left w:w="22" w:type="dxa"/>
              <w:bottom w:w="0" w:type="dxa"/>
              <w:right w:w="22" w:type="dxa"/>
            </w:tcMar>
            <w:vAlign w:val="center"/>
            <w:hideMark/>
          </w:tcPr>
          <w:p w:rsidR="000A2F05" w:rsidRPr="000C29FD" w:rsidRDefault="000A2F05" w:rsidP="00F33FDE">
            <w:pPr>
              <w:spacing w:after="0"/>
              <w:rPr>
                <w:rFonts w:ascii="Calibri" w:hAnsi="Calibri" w:cs="Calibri"/>
                <w:color w:val="000000"/>
                <w:szCs w:val="24"/>
              </w:rPr>
            </w:pPr>
            <w:r w:rsidRPr="000C29FD">
              <w:rPr>
                <w:rFonts w:ascii="Calibri" w:hAnsi="Calibri" w:cs="Calibri"/>
                <w:color w:val="000000"/>
                <w:szCs w:val="24"/>
              </w:rPr>
              <w:t>Incidenti con coinvolgimento esclusivo di veicoli pesanti</w:t>
            </w:r>
          </w:p>
        </w:tc>
        <w:tc>
          <w:tcPr>
            <w:tcW w:w="807" w:type="pct"/>
            <w:tcBorders>
              <w:top w:val="single" w:sz="4" w:space="0" w:color="auto"/>
              <w:left w:val="single" w:sz="4" w:space="0" w:color="auto"/>
              <w:bottom w:val="single" w:sz="4" w:space="0" w:color="auto"/>
              <w:right w:val="single" w:sz="4" w:space="0" w:color="auto"/>
            </w:tcBorders>
            <w:shd w:val="clear" w:color="000000" w:fill="E0E0E0"/>
            <w:tcMar>
              <w:top w:w="22" w:type="dxa"/>
              <w:left w:w="22" w:type="dxa"/>
              <w:bottom w:w="0" w:type="dxa"/>
              <w:right w:w="22" w:type="dxa"/>
            </w:tcMar>
            <w:vAlign w:val="center"/>
          </w:tcPr>
          <w:p w:rsidR="000A2F05" w:rsidRPr="00ED0C93" w:rsidRDefault="000A2F05" w:rsidP="00F33FDE">
            <w:pPr>
              <w:spacing w:after="0"/>
              <w:jc w:val="center"/>
              <w:rPr>
                <w:rFonts w:ascii="Calibri" w:hAnsi="Calibri" w:cs="Calibri"/>
                <w:color w:val="000000"/>
                <w:szCs w:val="24"/>
              </w:rPr>
            </w:pPr>
            <w:r w:rsidRPr="00ED0C93">
              <w:rPr>
                <w:rFonts w:ascii="Calibri" w:hAnsi="Calibri" w:cs="Calibri"/>
                <w:color w:val="000000"/>
                <w:szCs w:val="24"/>
              </w:rPr>
              <w:t>54</w:t>
            </w:r>
          </w:p>
        </w:tc>
      </w:tr>
      <w:tr w:rsidR="000A2F05" w:rsidRPr="000C29FD" w:rsidTr="000530FE">
        <w:trPr>
          <w:trHeight w:val="397"/>
        </w:trPr>
        <w:tc>
          <w:tcPr>
            <w:tcW w:w="4193" w:type="pct"/>
            <w:tcBorders>
              <w:top w:val="single" w:sz="4" w:space="0" w:color="auto"/>
              <w:left w:val="single" w:sz="4" w:space="0" w:color="auto"/>
              <w:bottom w:val="single" w:sz="4" w:space="0" w:color="auto"/>
              <w:right w:val="single" w:sz="4" w:space="0" w:color="auto"/>
            </w:tcBorders>
            <w:shd w:val="clear" w:color="000000" w:fill="FFFFFF"/>
            <w:tcMar>
              <w:top w:w="22" w:type="dxa"/>
              <w:left w:w="22" w:type="dxa"/>
              <w:bottom w:w="0" w:type="dxa"/>
              <w:right w:w="22" w:type="dxa"/>
            </w:tcMar>
            <w:vAlign w:val="center"/>
            <w:hideMark/>
          </w:tcPr>
          <w:p w:rsidR="000A2F05" w:rsidRPr="000C29FD" w:rsidRDefault="000A2F05" w:rsidP="00F33FDE">
            <w:pPr>
              <w:spacing w:after="0"/>
              <w:rPr>
                <w:rFonts w:ascii="Calibri" w:hAnsi="Calibri" w:cs="Calibri"/>
                <w:color w:val="000000"/>
                <w:szCs w:val="24"/>
              </w:rPr>
            </w:pPr>
            <w:r w:rsidRPr="000C29FD">
              <w:rPr>
                <w:rFonts w:ascii="Calibri" w:hAnsi="Calibri" w:cs="Calibri"/>
                <w:color w:val="000000"/>
                <w:szCs w:val="24"/>
              </w:rPr>
              <w:t>Incidenti totali con feriti</w:t>
            </w:r>
          </w:p>
        </w:tc>
        <w:tc>
          <w:tcPr>
            <w:tcW w:w="807" w:type="pct"/>
            <w:tcBorders>
              <w:top w:val="single" w:sz="4" w:space="0" w:color="auto"/>
              <w:left w:val="single" w:sz="4" w:space="0" w:color="auto"/>
              <w:bottom w:val="single" w:sz="4" w:space="0" w:color="auto"/>
              <w:right w:val="single" w:sz="4" w:space="0" w:color="auto"/>
            </w:tcBorders>
            <w:shd w:val="clear" w:color="000000" w:fill="FFFFFF"/>
            <w:tcMar>
              <w:top w:w="22" w:type="dxa"/>
              <w:left w:w="22" w:type="dxa"/>
              <w:bottom w:w="0" w:type="dxa"/>
              <w:right w:w="22" w:type="dxa"/>
            </w:tcMar>
            <w:vAlign w:val="center"/>
          </w:tcPr>
          <w:p w:rsidR="000A2F05" w:rsidRPr="00ED0C93" w:rsidRDefault="000A2F05" w:rsidP="00F33FDE">
            <w:pPr>
              <w:spacing w:after="0"/>
              <w:jc w:val="center"/>
              <w:rPr>
                <w:rFonts w:ascii="Calibri" w:hAnsi="Calibri" w:cs="Calibri"/>
                <w:color w:val="000000"/>
                <w:szCs w:val="24"/>
              </w:rPr>
            </w:pPr>
            <w:r w:rsidRPr="00ED0C93">
              <w:rPr>
                <w:rFonts w:ascii="Calibri" w:hAnsi="Calibri" w:cs="Calibri"/>
                <w:color w:val="000000"/>
                <w:szCs w:val="24"/>
              </w:rPr>
              <w:t>35</w:t>
            </w:r>
          </w:p>
        </w:tc>
      </w:tr>
      <w:tr w:rsidR="000A2F05" w:rsidRPr="000C29FD" w:rsidTr="000530FE">
        <w:trPr>
          <w:trHeight w:val="397"/>
        </w:trPr>
        <w:tc>
          <w:tcPr>
            <w:tcW w:w="4193" w:type="pct"/>
            <w:tcBorders>
              <w:top w:val="single" w:sz="4" w:space="0" w:color="auto"/>
              <w:left w:val="single" w:sz="4" w:space="0" w:color="auto"/>
              <w:bottom w:val="single" w:sz="4" w:space="0" w:color="auto"/>
              <w:right w:val="single" w:sz="4" w:space="0" w:color="auto"/>
            </w:tcBorders>
            <w:shd w:val="clear" w:color="000000" w:fill="E0E0E0"/>
            <w:tcMar>
              <w:top w:w="22" w:type="dxa"/>
              <w:left w:w="22" w:type="dxa"/>
              <w:bottom w:w="0" w:type="dxa"/>
              <w:right w:w="22" w:type="dxa"/>
            </w:tcMar>
            <w:vAlign w:val="center"/>
            <w:hideMark/>
          </w:tcPr>
          <w:p w:rsidR="000A2F05" w:rsidRPr="000C29FD" w:rsidRDefault="000A2F05" w:rsidP="00F33FDE">
            <w:pPr>
              <w:spacing w:after="0"/>
              <w:rPr>
                <w:rFonts w:ascii="Calibri" w:hAnsi="Calibri" w:cs="Calibri"/>
                <w:color w:val="000000"/>
                <w:szCs w:val="24"/>
              </w:rPr>
            </w:pPr>
            <w:r w:rsidRPr="000C29FD">
              <w:rPr>
                <w:rFonts w:ascii="Calibri" w:hAnsi="Calibri" w:cs="Calibri"/>
                <w:color w:val="000000"/>
                <w:szCs w:val="24"/>
              </w:rPr>
              <w:t>Incidenti totali con esito mortale</w:t>
            </w:r>
          </w:p>
        </w:tc>
        <w:tc>
          <w:tcPr>
            <w:tcW w:w="807" w:type="pct"/>
            <w:tcBorders>
              <w:top w:val="single" w:sz="4" w:space="0" w:color="auto"/>
              <w:left w:val="single" w:sz="4" w:space="0" w:color="auto"/>
              <w:bottom w:val="single" w:sz="4" w:space="0" w:color="auto"/>
              <w:right w:val="single" w:sz="4" w:space="0" w:color="auto"/>
            </w:tcBorders>
            <w:shd w:val="clear" w:color="000000" w:fill="E0E0E0"/>
            <w:tcMar>
              <w:top w:w="22" w:type="dxa"/>
              <w:left w:w="22" w:type="dxa"/>
              <w:bottom w:w="0" w:type="dxa"/>
              <w:right w:w="22" w:type="dxa"/>
            </w:tcMar>
            <w:vAlign w:val="center"/>
          </w:tcPr>
          <w:p w:rsidR="000A2F05" w:rsidRPr="00ED0C93" w:rsidRDefault="000A2F05" w:rsidP="00F33FDE">
            <w:pPr>
              <w:spacing w:after="0"/>
              <w:jc w:val="center"/>
              <w:rPr>
                <w:rFonts w:ascii="Calibri" w:hAnsi="Calibri" w:cs="Calibri"/>
                <w:color w:val="000000"/>
                <w:szCs w:val="24"/>
              </w:rPr>
            </w:pPr>
            <w:r w:rsidRPr="00ED0C93">
              <w:rPr>
                <w:rFonts w:ascii="Calibri" w:hAnsi="Calibri" w:cs="Calibri"/>
                <w:color w:val="000000"/>
                <w:szCs w:val="24"/>
              </w:rPr>
              <w:t>6</w:t>
            </w:r>
          </w:p>
        </w:tc>
      </w:tr>
      <w:tr w:rsidR="000530FE" w:rsidRPr="000C29FD" w:rsidTr="000530FE">
        <w:trPr>
          <w:trHeight w:val="397"/>
        </w:trPr>
        <w:tc>
          <w:tcPr>
            <w:tcW w:w="4193" w:type="pct"/>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vAlign w:val="center"/>
          </w:tcPr>
          <w:p w:rsidR="000530FE" w:rsidRPr="000C29FD" w:rsidRDefault="000530FE" w:rsidP="00F33FDE">
            <w:pPr>
              <w:spacing w:after="0"/>
              <w:rPr>
                <w:rFonts w:ascii="Calibri" w:hAnsi="Calibri" w:cs="Calibri"/>
                <w:color w:val="000000"/>
                <w:szCs w:val="24"/>
              </w:rPr>
            </w:pPr>
            <w:r>
              <w:rPr>
                <w:rFonts w:ascii="Calibri" w:hAnsi="Calibri" w:cs="Calibri"/>
                <w:color w:val="000000"/>
                <w:szCs w:val="24"/>
              </w:rPr>
              <w:t>Incidenti con danni alle persone</w:t>
            </w:r>
          </w:p>
        </w:tc>
        <w:tc>
          <w:tcPr>
            <w:tcW w:w="807" w:type="pct"/>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vAlign w:val="center"/>
          </w:tcPr>
          <w:p w:rsidR="000530FE" w:rsidRPr="00ED0C93" w:rsidRDefault="000530FE" w:rsidP="00F33FDE">
            <w:pPr>
              <w:spacing w:after="0"/>
              <w:jc w:val="center"/>
              <w:rPr>
                <w:rFonts w:ascii="Calibri" w:hAnsi="Calibri" w:cs="Calibri"/>
                <w:color w:val="000000"/>
                <w:szCs w:val="24"/>
              </w:rPr>
            </w:pPr>
            <w:r>
              <w:rPr>
                <w:rFonts w:ascii="Calibri" w:hAnsi="Calibri" w:cs="Calibri"/>
                <w:color w:val="000000"/>
                <w:szCs w:val="24"/>
              </w:rPr>
              <w:t>41</w:t>
            </w:r>
          </w:p>
        </w:tc>
      </w:tr>
    </w:tbl>
    <w:p w:rsidR="000A2F05" w:rsidRDefault="000A2F05" w:rsidP="00371B6C">
      <w:pPr>
        <w:spacing w:after="20"/>
        <w:rPr>
          <w:b/>
          <w:sz w:val="20"/>
          <w:szCs w:val="20"/>
        </w:rPr>
      </w:pPr>
    </w:p>
    <w:p w:rsidR="009A472D" w:rsidRDefault="009A472D" w:rsidP="00371B6C">
      <w:pPr>
        <w:spacing w:after="20"/>
        <w:rPr>
          <w:b/>
          <w:sz w:val="20"/>
          <w:szCs w:val="20"/>
        </w:rPr>
      </w:pPr>
    </w:p>
    <w:p w:rsidR="009A472D" w:rsidRDefault="009A472D" w:rsidP="00371B6C">
      <w:pPr>
        <w:spacing w:after="20"/>
        <w:rPr>
          <w:sz w:val="20"/>
          <w:szCs w:val="20"/>
        </w:rPr>
      </w:pPr>
      <w:r w:rsidRPr="00110E20">
        <w:rPr>
          <w:sz w:val="20"/>
          <w:szCs w:val="20"/>
        </w:rPr>
        <w:t xml:space="preserve">Queste prime tabelle indicano in forma complessiva i dati dell’infortunistica stradale scomposti per conseguenze e per coinvolgimento dei veicoli industriali. </w:t>
      </w:r>
      <w:r w:rsidR="00FB6C4B" w:rsidRPr="00110E20">
        <w:rPr>
          <w:sz w:val="20"/>
          <w:szCs w:val="20"/>
        </w:rPr>
        <w:t xml:space="preserve">Emerge chiaramente come la vocazione commerciale dell’autostrada si rifletta sul fenomeno infortunistico; ben 109 incidenti su un totale di 194 hanno visto il coinvolgimento di mezzi pesanti </w:t>
      </w:r>
      <w:r w:rsidR="00CB2368" w:rsidRPr="00110E20">
        <w:rPr>
          <w:sz w:val="20"/>
          <w:szCs w:val="20"/>
        </w:rPr>
        <w:t>(autotreni</w:t>
      </w:r>
      <w:r w:rsidR="00FB6C4B" w:rsidRPr="00110E20">
        <w:rPr>
          <w:sz w:val="20"/>
          <w:szCs w:val="20"/>
        </w:rPr>
        <w:t xml:space="preserve"> o </w:t>
      </w:r>
      <w:r w:rsidR="00CB2368" w:rsidRPr="00110E20">
        <w:rPr>
          <w:sz w:val="20"/>
          <w:szCs w:val="20"/>
        </w:rPr>
        <w:t>autoarticolati)</w:t>
      </w:r>
      <w:r w:rsidR="00FB6C4B" w:rsidRPr="00110E20">
        <w:rPr>
          <w:sz w:val="20"/>
          <w:szCs w:val="20"/>
        </w:rPr>
        <w:t xml:space="preserve"> e, più specificamente</w:t>
      </w:r>
      <w:r w:rsidR="00616CAB">
        <w:rPr>
          <w:sz w:val="20"/>
          <w:szCs w:val="20"/>
        </w:rPr>
        <w:t>,</w:t>
      </w:r>
      <w:r w:rsidR="00FB6C4B" w:rsidRPr="00110E20">
        <w:rPr>
          <w:sz w:val="20"/>
          <w:szCs w:val="20"/>
        </w:rPr>
        <w:t xml:space="preserve"> 54 hanno visto coinvolti solo queste categorie veicolari. </w:t>
      </w:r>
    </w:p>
    <w:p w:rsidR="00616CAB" w:rsidRDefault="00616CAB" w:rsidP="00371B6C">
      <w:pPr>
        <w:spacing w:after="20"/>
        <w:rPr>
          <w:sz w:val="20"/>
          <w:szCs w:val="20"/>
        </w:rPr>
      </w:pPr>
    </w:p>
    <w:p w:rsidR="00616CAB" w:rsidRPr="00110E20" w:rsidRDefault="00616CAB" w:rsidP="00371B6C">
      <w:pPr>
        <w:spacing w:after="20"/>
        <w:rPr>
          <w:sz w:val="20"/>
          <w:szCs w:val="20"/>
        </w:rPr>
      </w:pPr>
    </w:p>
    <w:p w:rsidR="002374A5" w:rsidRPr="002374A5" w:rsidRDefault="000A2F05" w:rsidP="002374A5">
      <w:pPr>
        <w:pStyle w:val="Titolo1"/>
      </w:pPr>
      <w:r>
        <w:t>D</w:t>
      </w:r>
      <w:r w:rsidR="002374A5" w:rsidRPr="002374A5">
        <w:t>istribuzione mensile degli incidenti</w:t>
      </w:r>
      <w:r w:rsidR="00972674">
        <w:t xml:space="preserve"> totali</w:t>
      </w:r>
    </w:p>
    <w:p w:rsidR="0045421C" w:rsidRDefault="00D223A1" w:rsidP="0045421C">
      <w:r>
        <w:rPr>
          <w:noProof/>
          <w:lang w:eastAsia="it-IT"/>
        </w:rPr>
        <w:drawing>
          <wp:inline distT="0" distB="0" distL="0" distR="0" wp14:anchorId="0C5AE7B2" wp14:editId="7AAFA88E">
            <wp:extent cx="6120000" cy="2743200"/>
            <wp:effectExtent l="0" t="0" r="14605"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23A1" w:rsidRDefault="00D223A1" w:rsidP="0045421C">
      <w:r>
        <w:rPr>
          <w:noProof/>
          <w:lang w:eastAsia="it-IT"/>
        </w:rPr>
        <w:drawing>
          <wp:inline distT="0" distB="0" distL="0" distR="0" wp14:anchorId="46CC10C1" wp14:editId="5C7BEE1A">
            <wp:extent cx="6120000" cy="2743200"/>
            <wp:effectExtent l="0" t="0" r="14605" b="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421C" w:rsidRDefault="00D223A1" w:rsidP="0045421C">
      <w:r>
        <w:rPr>
          <w:noProof/>
          <w:lang w:eastAsia="it-IT"/>
        </w:rPr>
        <w:lastRenderedPageBreak/>
        <w:drawing>
          <wp:inline distT="0" distB="0" distL="0" distR="0" wp14:anchorId="60548DCF" wp14:editId="413A6AC9">
            <wp:extent cx="6120000" cy="2743200"/>
            <wp:effectExtent l="0" t="0" r="14605" b="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6CAB" w:rsidRDefault="00616CAB" w:rsidP="0045421C">
      <w:pPr>
        <w:rPr>
          <w:sz w:val="20"/>
          <w:szCs w:val="20"/>
        </w:rPr>
      </w:pPr>
    </w:p>
    <w:p w:rsidR="00A92100" w:rsidRDefault="00110E20" w:rsidP="0045421C">
      <w:pPr>
        <w:rPr>
          <w:sz w:val="20"/>
          <w:szCs w:val="20"/>
        </w:rPr>
      </w:pPr>
      <w:r w:rsidRPr="00110E20">
        <w:rPr>
          <w:sz w:val="20"/>
          <w:szCs w:val="20"/>
        </w:rPr>
        <w:t xml:space="preserve">Analizziamo ora a </w:t>
      </w:r>
      <w:r w:rsidR="00A92100" w:rsidRPr="00110E20">
        <w:rPr>
          <w:sz w:val="20"/>
          <w:szCs w:val="20"/>
        </w:rPr>
        <w:t>distribuzione dell’infortunistica rispetto ai mesi dell’anno</w:t>
      </w:r>
      <w:r w:rsidRPr="00110E20">
        <w:rPr>
          <w:sz w:val="20"/>
          <w:szCs w:val="20"/>
        </w:rPr>
        <w:t>.</w:t>
      </w:r>
      <w:r w:rsidR="00A92100" w:rsidRPr="00110E20">
        <w:rPr>
          <w:sz w:val="20"/>
          <w:szCs w:val="20"/>
        </w:rPr>
        <w:t xml:space="preserve"> </w:t>
      </w:r>
      <w:r w:rsidRPr="00110E20">
        <w:rPr>
          <w:sz w:val="20"/>
          <w:szCs w:val="20"/>
        </w:rPr>
        <w:t>R</w:t>
      </w:r>
      <w:r w:rsidR="00A92100" w:rsidRPr="00110E20">
        <w:rPr>
          <w:sz w:val="20"/>
          <w:szCs w:val="20"/>
        </w:rPr>
        <w:t>isulta evidente come alla già analizzata caratteristica commerciale dell’autostrada A/4 nei mesi estivi si associ la vocazione turistica della stessa, condizione che genera un incremento degli incidenti nei mesi estivi di giugno, agosto e settembre caratterizzati dai c.d. esodi e controesodi vacanzieri.</w:t>
      </w:r>
    </w:p>
    <w:p w:rsidR="00110E20" w:rsidRDefault="00110E20" w:rsidP="0045421C">
      <w:pPr>
        <w:rPr>
          <w:sz w:val="20"/>
          <w:szCs w:val="20"/>
        </w:rPr>
      </w:pPr>
    </w:p>
    <w:p w:rsidR="00110E20" w:rsidRDefault="00110E20" w:rsidP="0045421C">
      <w:pPr>
        <w:rPr>
          <w:sz w:val="20"/>
          <w:szCs w:val="20"/>
        </w:rPr>
      </w:pPr>
    </w:p>
    <w:p w:rsidR="00110E20" w:rsidRPr="00110E20" w:rsidRDefault="00110E20" w:rsidP="0045421C">
      <w:pPr>
        <w:rPr>
          <w:sz w:val="20"/>
          <w:szCs w:val="20"/>
        </w:rPr>
      </w:pPr>
    </w:p>
    <w:p w:rsidR="005D5B3E" w:rsidRPr="00972674" w:rsidRDefault="0045421C" w:rsidP="00E204D7">
      <w:pPr>
        <w:pStyle w:val="Titolo1"/>
        <w:jc w:val="center"/>
      </w:pPr>
      <w:r w:rsidRPr="0045421C">
        <w:t>Distribuzione</w:t>
      </w:r>
      <w:r w:rsidR="002374A5" w:rsidRPr="0045421C">
        <w:t xml:space="preserve"> </w:t>
      </w:r>
      <w:r w:rsidRPr="0045421C">
        <w:t>giornaliera</w:t>
      </w:r>
      <w:r w:rsidR="002374A5" w:rsidRPr="0045421C">
        <w:t xml:space="preserve"> degli incidenti</w:t>
      </w:r>
      <w:r w:rsidR="00972674">
        <w:t xml:space="preserve"> totali</w:t>
      </w:r>
    </w:p>
    <w:p w:rsidR="002374A5" w:rsidRDefault="001960F4" w:rsidP="00E63F31">
      <w:pPr>
        <w:rPr>
          <w:sz w:val="20"/>
          <w:szCs w:val="20"/>
        </w:rPr>
      </w:pPr>
      <w:r>
        <w:rPr>
          <w:noProof/>
          <w:lang w:eastAsia="it-IT"/>
        </w:rPr>
        <w:drawing>
          <wp:inline distT="0" distB="0" distL="0" distR="0" wp14:anchorId="66AC22CA" wp14:editId="71A2C57A">
            <wp:extent cx="6120000" cy="2743200"/>
            <wp:effectExtent l="0" t="0" r="14605" b="0"/>
            <wp:docPr id="12"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60F4" w:rsidRDefault="001960F4" w:rsidP="00E63F31">
      <w:pPr>
        <w:rPr>
          <w:sz w:val="20"/>
          <w:szCs w:val="20"/>
        </w:rPr>
      </w:pPr>
      <w:r>
        <w:rPr>
          <w:noProof/>
          <w:lang w:eastAsia="it-IT"/>
        </w:rPr>
        <w:lastRenderedPageBreak/>
        <w:drawing>
          <wp:inline distT="0" distB="0" distL="0" distR="0" wp14:anchorId="2F2A0BF9" wp14:editId="323CA1FC">
            <wp:extent cx="6120000" cy="2743200"/>
            <wp:effectExtent l="0" t="0" r="14605" b="0"/>
            <wp:docPr id="13" name="Gra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5B3E" w:rsidRDefault="001960F4" w:rsidP="00E63F31">
      <w:pPr>
        <w:rPr>
          <w:sz w:val="20"/>
          <w:szCs w:val="20"/>
        </w:rPr>
      </w:pPr>
      <w:r>
        <w:rPr>
          <w:noProof/>
          <w:lang w:eastAsia="it-IT"/>
        </w:rPr>
        <w:drawing>
          <wp:inline distT="0" distB="0" distL="0" distR="0" wp14:anchorId="1C6DE828" wp14:editId="482715C2">
            <wp:extent cx="6120000" cy="2743200"/>
            <wp:effectExtent l="0" t="0" r="14605" b="0"/>
            <wp:docPr id="14" name="Gra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7552" w:rsidRDefault="00697552" w:rsidP="00E63F31">
      <w:pPr>
        <w:rPr>
          <w:sz w:val="20"/>
          <w:szCs w:val="20"/>
        </w:rPr>
      </w:pPr>
    </w:p>
    <w:p w:rsidR="00697552" w:rsidRDefault="00697552" w:rsidP="00E63F31">
      <w:pPr>
        <w:rPr>
          <w:sz w:val="20"/>
          <w:szCs w:val="20"/>
        </w:rPr>
      </w:pPr>
      <w:r>
        <w:rPr>
          <w:sz w:val="20"/>
          <w:szCs w:val="20"/>
        </w:rPr>
        <w:t xml:space="preserve">Questo interessante grafico illustra una concentrazione infortunistica nella parte centrale della settimana; </w:t>
      </w:r>
      <w:r w:rsidR="00CC2146">
        <w:rPr>
          <w:sz w:val="20"/>
          <w:szCs w:val="20"/>
        </w:rPr>
        <w:t xml:space="preserve">d’altronde </w:t>
      </w:r>
      <w:r>
        <w:rPr>
          <w:sz w:val="20"/>
          <w:szCs w:val="20"/>
        </w:rPr>
        <w:t>nelle giornate del mercoledì e del giovedì si</w:t>
      </w:r>
      <w:r w:rsidR="00CC2146">
        <w:rPr>
          <w:sz w:val="20"/>
          <w:szCs w:val="20"/>
        </w:rPr>
        <w:t xml:space="preserve"> registra</w:t>
      </w:r>
      <w:r>
        <w:rPr>
          <w:sz w:val="20"/>
          <w:szCs w:val="20"/>
        </w:rPr>
        <w:t xml:space="preserve"> il maggior movimento veicolare in riferimento ai veicoli commerciali. Va infatti ricordato che le normative europee di contingentamento dei tempi di guida e riposo degli autisti professionali preved</w:t>
      </w:r>
      <w:r w:rsidR="00110E20">
        <w:rPr>
          <w:sz w:val="20"/>
          <w:szCs w:val="20"/>
        </w:rPr>
        <w:t xml:space="preserve">ono </w:t>
      </w:r>
      <w:r w:rsidR="00304FC1">
        <w:rPr>
          <w:sz w:val="20"/>
          <w:szCs w:val="20"/>
        </w:rPr>
        <w:t>l’obbligatoria</w:t>
      </w:r>
      <w:r>
        <w:rPr>
          <w:sz w:val="20"/>
          <w:szCs w:val="20"/>
        </w:rPr>
        <w:t xml:space="preserve"> fruizione di riposi settimanali, generalmente la domenica</w:t>
      </w:r>
      <w:r w:rsidR="00CC2146">
        <w:rPr>
          <w:sz w:val="20"/>
          <w:szCs w:val="20"/>
        </w:rPr>
        <w:t>,</w:t>
      </w:r>
      <w:r>
        <w:rPr>
          <w:sz w:val="20"/>
          <w:szCs w:val="20"/>
        </w:rPr>
        <w:t xml:space="preserve"> la cui</w:t>
      </w:r>
      <w:r w:rsidR="00CC2146">
        <w:rPr>
          <w:sz w:val="20"/>
          <w:szCs w:val="20"/>
        </w:rPr>
        <w:t xml:space="preserve"> durata è di 45 ore. Da qui l’evidenza che i primi giorni della settimana non sono particolarmente interessati alla circolazione dei mezzi pesanti provenienti dall’Europa orientale</w:t>
      </w:r>
      <w:r w:rsidR="00110E20">
        <w:rPr>
          <w:sz w:val="20"/>
          <w:szCs w:val="20"/>
        </w:rPr>
        <w:t xml:space="preserve">, </w:t>
      </w:r>
      <w:r w:rsidR="002D572F">
        <w:rPr>
          <w:sz w:val="20"/>
          <w:szCs w:val="20"/>
        </w:rPr>
        <w:t xml:space="preserve">i cui autisti sono </w:t>
      </w:r>
      <w:r w:rsidR="00110E20">
        <w:rPr>
          <w:sz w:val="20"/>
          <w:szCs w:val="20"/>
        </w:rPr>
        <w:t>ancora intenti alla</w:t>
      </w:r>
      <w:r w:rsidR="00CC2146">
        <w:rPr>
          <w:sz w:val="20"/>
          <w:szCs w:val="20"/>
        </w:rPr>
        <w:t xml:space="preserve"> consumazione del riposo settimanale ovvero</w:t>
      </w:r>
      <w:r w:rsidR="00110E20">
        <w:rPr>
          <w:sz w:val="20"/>
          <w:szCs w:val="20"/>
        </w:rPr>
        <w:t xml:space="preserve"> in procinto di intraprendere</w:t>
      </w:r>
      <w:r w:rsidR="00CC2146">
        <w:rPr>
          <w:sz w:val="20"/>
          <w:szCs w:val="20"/>
        </w:rPr>
        <w:t xml:space="preserve"> il viaggio e non ancora giunti sul territorio nazionale. </w:t>
      </w:r>
      <w:r>
        <w:rPr>
          <w:sz w:val="20"/>
          <w:szCs w:val="20"/>
        </w:rPr>
        <w:t xml:space="preserve">  </w:t>
      </w:r>
    </w:p>
    <w:p w:rsidR="002D572F" w:rsidRDefault="002D572F" w:rsidP="00E63F31">
      <w:pPr>
        <w:rPr>
          <w:sz w:val="20"/>
          <w:szCs w:val="20"/>
        </w:rPr>
      </w:pPr>
    </w:p>
    <w:p w:rsidR="00DA224C" w:rsidRDefault="00972674" w:rsidP="00E204D7">
      <w:pPr>
        <w:pStyle w:val="Titolo1"/>
        <w:jc w:val="center"/>
      </w:pPr>
      <w:r>
        <w:lastRenderedPageBreak/>
        <w:t xml:space="preserve">Tasso di </w:t>
      </w:r>
      <w:r w:rsidR="004064BF">
        <w:t>sinistrosità</w:t>
      </w:r>
      <w:r>
        <w:t xml:space="preserve"> riferito agli incidenti </w:t>
      </w:r>
      <w:r w:rsidR="008F73CD">
        <w:t>con danni alle persone</w:t>
      </w:r>
    </w:p>
    <w:p w:rsidR="00016119" w:rsidRDefault="000641E7" w:rsidP="00016119">
      <w:r>
        <w:rPr>
          <w:noProof/>
          <w:lang w:eastAsia="it-IT"/>
        </w:rPr>
        <w:drawing>
          <wp:inline distT="0" distB="0" distL="0" distR="0" wp14:anchorId="60F3AC74">
            <wp:extent cx="6132830" cy="3609340"/>
            <wp:effectExtent l="0" t="0" r="127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2830" cy="3609340"/>
                    </a:xfrm>
                    <a:prstGeom prst="rect">
                      <a:avLst/>
                    </a:prstGeom>
                    <a:noFill/>
                  </pic:spPr>
                </pic:pic>
              </a:graphicData>
            </a:graphic>
          </wp:inline>
        </w:drawing>
      </w:r>
    </w:p>
    <w:p w:rsidR="000641E7" w:rsidRDefault="000641E7" w:rsidP="00016119">
      <w:r>
        <w:rPr>
          <w:noProof/>
          <w:lang w:eastAsia="it-IT"/>
        </w:rPr>
        <w:drawing>
          <wp:inline distT="0" distB="0" distL="0" distR="0" wp14:anchorId="21D75C34">
            <wp:extent cx="6132830" cy="3609340"/>
            <wp:effectExtent l="0" t="0" r="127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2830" cy="3609340"/>
                    </a:xfrm>
                    <a:prstGeom prst="rect">
                      <a:avLst/>
                    </a:prstGeom>
                    <a:noFill/>
                  </pic:spPr>
                </pic:pic>
              </a:graphicData>
            </a:graphic>
          </wp:inline>
        </w:drawing>
      </w:r>
    </w:p>
    <w:p w:rsidR="005D5B3E" w:rsidRDefault="005D5B3E" w:rsidP="00F22D46">
      <w:pPr>
        <w:rPr>
          <w:sz w:val="20"/>
          <w:szCs w:val="20"/>
        </w:rPr>
      </w:pPr>
    </w:p>
    <w:p w:rsidR="00434C29" w:rsidRDefault="00434C29" w:rsidP="00F22D46">
      <w:pPr>
        <w:rPr>
          <w:sz w:val="20"/>
          <w:szCs w:val="20"/>
        </w:rPr>
      </w:pPr>
      <w:r>
        <w:rPr>
          <w:sz w:val="20"/>
          <w:szCs w:val="20"/>
        </w:rPr>
        <w:t xml:space="preserve">Questi grafici illustrano il tasso di sinistrosità che viene espresso in ordine ai chilometri percorsi tra svincolo e svincolo per milione di veicoli. Rappresenta un tentativo di correlare l’infortunistica stradale alla consistenza del traffico espresso per chilometri prodotti. Non essendo le tratte considerate omogenee per distanza chilometrica tra svincolo e svincolo il dato deve essere analizzato in modo generale; rappresenta una utile mappa </w:t>
      </w:r>
      <w:r w:rsidR="00FF3600">
        <w:rPr>
          <w:sz w:val="20"/>
          <w:szCs w:val="20"/>
        </w:rPr>
        <w:t>della sinistrosità.</w:t>
      </w:r>
      <w:r>
        <w:rPr>
          <w:sz w:val="20"/>
          <w:szCs w:val="20"/>
        </w:rPr>
        <w:t xml:space="preserve"> </w:t>
      </w:r>
    </w:p>
    <w:p w:rsidR="005D5B3E" w:rsidRDefault="00972674" w:rsidP="00E204D7">
      <w:pPr>
        <w:pStyle w:val="Titolo1"/>
        <w:jc w:val="center"/>
      </w:pPr>
      <w:r>
        <w:lastRenderedPageBreak/>
        <w:t>Distribuzione</w:t>
      </w:r>
      <w:r w:rsidR="006C2F9E" w:rsidRPr="006C2F9E">
        <w:t xml:space="preserve"> degli incidenti </w:t>
      </w:r>
      <w:r>
        <w:t xml:space="preserve">totali </w:t>
      </w:r>
      <w:r w:rsidR="00BB42D9">
        <w:t>in base alle</w:t>
      </w:r>
      <w:r w:rsidR="006C2F9E" w:rsidRPr="006C2F9E">
        <w:t xml:space="preserve"> </w:t>
      </w:r>
      <w:r w:rsidR="00CE4682">
        <w:t>condizioni meteo</w:t>
      </w:r>
    </w:p>
    <w:p w:rsidR="00FB0476" w:rsidRPr="00FB0476" w:rsidRDefault="00FB0476" w:rsidP="00FB0476">
      <w:pPr>
        <w:jc w:val="center"/>
      </w:pPr>
      <w:r>
        <w:rPr>
          <w:noProof/>
          <w:lang w:eastAsia="it-IT"/>
        </w:rPr>
        <w:drawing>
          <wp:inline distT="0" distB="0" distL="0" distR="0" wp14:anchorId="588521A7">
            <wp:extent cx="3931200" cy="2750400"/>
            <wp:effectExtent l="0" t="0" r="0" b="0"/>
            <wp:docPr id="207"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31200" cy="2750400"/>
                    </a:xfrm>
                    <a:prstGeom prst="rect">
                      <a:avLst/>
                    </a:prstGeom>
                    <a:noFill/>
                  </pic:spPr>
                </pic:pic>
              </a:graphicData>
            </a:graphic>
          </wp:inline>
        </w:drawing>
      </w:r>
    </w:p>
    <w:p w:rsidR="00FB0476" w:rsidRDefault="00276ED6" w:rsidP="00FB0476">
      <w:pPr>
        <w:jc w:val="center"/>
      </w:pPr>
      <w:r>
        <w:rPr>
          <w:noProof/>
          <w:lang w:eastAsia="it-IT"/>
        </w:rPr>
        <w:drawing>
          <wp:inline distT="0" distB="0" distL="0" distR="0" wp14:anchorId="7E5A2395">
            <wp:extent cx="3895200" cy="2750400"/>
            <wp:effectExtent l="0" t="0" r="0" b="0"/>
            <wp:docPr id="208"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95200" cy="2750400"/>
                    </a:xfrm>
                    <a:prstGeom prst="rect">
                      <a:avLst/>
                    </a:prstGeom>
                    <a:noFill/>
                  </pic:spPr>
                </pic:pic>
              </a:graphicData>
            </a:graphic>
          </wp:inline>
        </w:drawing>
      </w:r>
    </w:p>
    <w:p w:rsidR="006C2F9E" w:rsidRDefault="00276ED6" w:rsidP="00FB0476">
      <w:pPr>
        <w:jc w:val="center"/>
      </w:pPr>
      <w:r>
        <w:rPr>
          <w:noProof/>
          <w:lang w:eastAsia="it-IT"/>
        </w:rPr>
        <w:drawing>
          <wp:inline distT="0" distB="0" distL="0" distR="0" wp14:anchorId="2CD8BEC9">
            <wp:extent cx="3898800" cy="2725200"/>
            <wp:effectExtent l="0" t="0" r="6985" b="0"/>
            <wp:docPr id="209"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98800" cy="2725200"/>
                    </a:xfrm>
                    <a:prstGeom prst="rect">
                      <a:avLst/>
                    </a:prstGeom>
                    <a:noFill/>
                  </pic:spPr>
                </pic:pic>
              </a:graphicData>
            </a:graphic>
          </wp:inline>
        </w:drawing>
      </w:r>
    </w:p>
    <w:p w:rsidR="00FF3600" w:rsidRDefault="00FF3600" w:rsidP="00FB0476">
      <w:pPr>
        <w:jc w:val="center"/>
      </w:pPr>
    </w:p>
    <w:p w:rsidR="00FF3600" w:rsidRPr="00FF3600" w:rsidRDefault="00FF3600" w:rsidP="00FF3600">
      <w:pPr>
        <w:rPr>
          <w:sz w:val="20"/>
          <w:szCs w:val="20"/>
        </w:rPr>
      </w:pPr>
      <w:r w:rsidRPr="00FF3600">
        <w:rPr>
          <w:sz w:val="20"/>
          <w:szCs w:val="20"/>
        </w:rPr>
        <w:t xml:space="preserve">In questo </w:t>
      </w:r>
      <w:r w:rsidR="00304FC1" w:rsidRPr="00FF3600">
        <w:rPr>
          <w:sz w:val="20"/>
          <w:szCs w:val="20"/>
        </w:rPr>
        <w:t>grafico,</w:t>
      </w:r>
      <w:r w:rsidR="00304FC1">
        <w:rPr>
          <w:sz w:val="20"/>
          <w:szCs w:val="20"/>
        </w:rPr>
        <w:t xml:space="preserve"> </w:t>
      </w:r>
      <w:r w:rsidR="00852443">
        <w:rPr>
          <w:sz w:val="20"/>
          <w:szCs w:val="20"/>
        </w:rPr>
        <w:t>l’elemento infrastrutturale lascia spazio all’analisi del</w:t>
      </w:r>
      <w:r w:rsidRPr="00FF3600">
        <w:rPr>
          <w:sz w:val="20"/>
          <w:szCs w:val="20"/>
        </w:rPr>
        <w:t>l’atteggiamento del conducente</w:t>
      </w:r>
      <w:r w:rsidR="00852443">
        <w:rPr>
          <w:sz w:val="20"/>
          <w:szCs w:val="20"/>
        </w:rPr>
        <w:t>. Di fronte a</w:t>
      </w:r>
      <w:r w:rsidRPr="00FF3600">
        <w:rPr>
          <w:sz w:val="20"/>
          <w:szCs w:val="20"/>
        </w:rPr>
        <w:t xml:space="preserve"> </w:t>
      </w:r>
      <w:r w:rsidR="00E204D7">
        <w:rPr>
          <w:sz w:val="20"/>
          <w:szCs w:val="20"/>
        </w:rPr>
        <w:t xml:space="preserve">condizioni </w:t>
      </w:r>
      <w:r w:rsidR="00852443">
        <w:rPr>
          <w:sz w:val="20"/>
          <w:szCs w:val="20"/>
        </w:rPr>
        <w:t>a</w:t>
      </w:r>
      <w:r w:rsidRPr="00FF3600">
        <w:rPr>
          <w:sz w:val="20"/>
          <w:szCs w:val="20"/>
        </w:rPr>
        <w:t>mbientali e meteorologiche</w:t>
      </w:r>
      <w:r w:rsidR="00852443">
        <w:rPr>
          <w:sz w:val="20"/>
          <w:szCs w:val="20"/>
        </w:rPr>
        <w:t xml:space="preserve"> avverse</w:t>
      </w:r>
      <w:r w:rsidR="00304FC1">
        <w:rPr>
          <w:sz w:val="20"/>
          <w:szCs w:val="20"/>
        </w:rPr>
        <w:t>,</w:t>
      </w:r>
      <w:r w:rsidR="00852443">
        <w:rPr>
          <w:sz w:val="20"/>
          <w:szCs w:val="20"/>
        </w:rPr>
        <w:t xml:space="preserve"> </w:t>
      </w:r>
      <w:r w:rsidRPr="00FF3600">
        <w:rPr>
          <w:sz w:val="20"/>
          <w:szCs w:val="20"/>
        </w:rPr>
        <w:t>gli incidenti avvengono con un</w:t>
      </w:r>
      <w:r w:rsidR="00304FC1">
        <w:rPr>
          <w:sz w:val="20"/>
          <w:szCs w:val="20"/>
        </w:rPr>
        <w:t>a frequenza significativamente</w:t>
      </w:r>
      <w:r w:rsidR="00852443">
        <w:rPr>
          <w:sz w:val="20"/>
          <w:szCs w:val="20"/>
        </w:rPr>
        <w:t xml:space="preserve"> minore </w:t>
      </w:r>
      <w:r w:rsidR="00304FC1">
        <w:rPr>
          <w:sz w:val="20"/>
          <w:szCs w:val="20"/>
        </w:rPr>
        <w:t xml:space="preserve">che </w:t>
      </w:r>
      <w:r w:rsidR="00304FC1" w:rsidRPr="00FF3600">
        <w:rPr>
          <w:sz w:val="20"/>
          <w:szCs w:val="20"/>
        </w:rPr>
        <w:t>in</w:t>
      </w:r>
      <w:r w:rsidR="00852443">
        <w:rPr>
          <w:sz w:val="20"/>
          <w:szCs w:val="20"/>
        </w:rPr>
        <w:t xml:space="preserve"> condizioni </w:t>
      </w:r>
      <w:r w:rsidRPr="00FF3600">
        <w:rPr>
          <w:sz w:val="20"/>
          <w:szCs w:val="20"/>
        </w:rPr>
        <w:t xml:space="preserve">buone. </w:t>
      </w:r>
      <w:r w:rsidR="00852443">
        <w:rPr>
          <w:sz w:val="20"/>
          <w:szCs w:val="20"/>
        </w:rPr>
        <w:t xml:space="preserve">L’apparente paradosso si scioglie con una semplice </w:t>
      </w:r>
      <w:r w:rsidR="00304FC1">
        <w:rPr>
          <w:sz w:val="20"/>
          <w:szCs w:val="20"/>
        </w:rPr>
        <w:t xml:space="preserve">considerazione: </w:t>
      </w:r>
      <w:r w:rsidR="00304FC1" w:rsidRPr="00FF3600">
        <w:rPr>
          <w:sz w:val="20"/>
          <w:szCs w:val="20"/>
        </w:rPr>
        <w:t>la</w:t>
      </w:r>
      <w:r w:rsidRPr="00FF3600">
        <w:rPr>
          <w:sz w:val="20"/>
          <w:szCs w:val="20"/>
        </w:rPr>
        <w:t xml:space="preserve"> concentrazione alla guida e la prudenza, elemento maggiormente richiesto durante la guida in condizioni meteo avverse, genera un minore tasso di infortunistica stradale. Si può destituire di fondamento </w:t>
      </w:r>
      <w:r w:rsidR="00852443">
        <w:rPr>
          <w:sz w:val="20"/>
          <w:szCs w:val="20"/>
        </w:rPr>
        <w:t xml:space="preserve">quindi </w:t>
      </w:r>
      <w:r w:rsidRPr="00FF3600">
        <w:rPr>
          <w:sz w:val="20"/>
          <w:szCs w:val="20"/>
        </w:rPr>
        <w:t xml:space="preserve">la leggenda metropolitana della strada killer, la curva assassina, il platano </w:t>
      </w:r>
      <w:r w:rsidR="00E204D7">
        <w:rPr>
          <w:sz w:val="20"/>
          <w:szCs w:val="20"/>
        </w:rPr>
        <w:t>in agguato; i dati ci dicono che</w:t>
      </w:r>
      <w:r w:rsidRPr="00FF3600">
        <w:rPr>
          <w:sz w:val="20"/>
          <w:szCs w:val="20"/>
        </w:rPr>
        <w:t xml:space="preserve"> </w:t>
      </w:r>
      <w:r w:rsidR="00E204D7">
        <w:rPr>
          <w:sz w:val="20"/>
          <w:szCs w:val="20"/>
        </w:rPr>
        <w:t>al peggiorare</w:t>
      </w:r>
      <w:r w:rsidRPr="00FF3600">
        <w:rPr>
          <w:sz w:val="20"/>
          <w:szCs w:val="20"/>
        </w:rPr>
        <w:t xml:space="preserve"> </w:t>
      </w:r>
      <w:r w:rsidR="00E204D7">
        <w:rPr>
          <w:sz w:val="20"/>
          <w:szCs w:val="20"/>
        </w:rPr>
        <w:t xml:space="preserve">delle </w:t>
      </w:r>
      <w:r w:rsidRPr="00FF3600">
        <w:rPr>
          <w:sz w:val="20"/>
          <w:szCs w:val="20"/>
        </w:rPr>
        <w:t xml:space="preserve">condizioni del meteo e quindi della strada corrisponde una maggiore attenzione alla guida </w:t>
      </w:r>
      <w:r w:rsidR="00E204D7">
        <w:rPr>
          <w:sz w:val="20"/>
          <w:szCs w:val="20"/>
        </w:rPr>
        <w:t>e, di conseguenza un</w:t>
      </w:r>
      <w:r w:rsidRPr="00FF3600">
        <w:rPr>
          <w:sz w:val="20"/>
          <w:szCs w:val="20"/>
        </w:rPr>
        <w:t xml:space="preserve"> tasso di sinistrosità </w:t>
      </w:r>
      <w:r w:rsidR="00E204D7">
        <w:rPr>
          <w:sz w:val="20"/>
          <w:szCs w:val="20"/>
        </w:rPr>
        <w:t>decrescente</w:t>
      </w:r>
      <w:r w:rsidRPr="00FF3600">
        <w:rPr>
          <w:sz w:val="20"/>
          <w:szCs w:val="20"/>
        </w:rPr>
        <w:t xml:space="preserve">; ove in vece la guida è caratterizzata da scarsa partecipazione, </w:t>
      </w:r>
      <w:r>
        <w:rPr>
          <w:sz w:val="20"/>
          <w:szCs w:val="20"/>
        </w:rPr>
        <w:t>monotonia o peggio disattenzione l’incidente stradale è dietro la curva.</w:t>
      </w:r>
    </w:p>
    <w:p w:rsidR="001C5F14" w:rsidRDefault="001C5F14" w:rsidP="00852443">
      <w:pPr>
        <w:pStyle w:val="Titolo1"/>
        <w:jc w:val="center"/>
      </w:pPr>
      <w:r>
        <w:t>Tipologie di incidente</w:t>
      </w:r>
      <w:r w:rsidR="00DC3319">
        <w:t xml:space="preserve"> (incidenti totali)</w:t>
      </w:r>
    </w:p>
    <w:p w:rsidR="00DA5D7E" w:rsidRDefault="00DA5D7E" w:rsidP="00DA5D7E">
      <w:pPr>
        <w:jc w:val="center"/>
      </w:pPr>
      <w:r>
        <w:rPr>
          <w:noProof/>
          <w:lang w:eastAsia="it-IT"/>
        </w:rPr>
        <w:drawing>
          <wp:inline distT="0" distB="0" distL="0" distR="0" wp14:anchorId="46A933E7">
            <wp:extent cx="3931200" cy="2750400"/>
            <wp:effectExtent l="0" t="0" r="0" b="0"/>
            <wp:docPr id="201"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31200" cy="2750400"/>
                    </a:xfrm>
                    <a:prstGeom prst="rect">
                      <a:avLst/>
                    </a:prstGeom>
                    <a:noFill/>
                  </pic:spPr>
                </pic:pic>
              </a:graphicData>
            </a:graphic>
          </wp:inline>
        </w:drawing>
      </w:r>
    </w:p>
    <w:p w:rsidR="001C5F14" w:rsidRDefault="00DA5D7E" w:rsidP="00DA5D7E">
      <w:pPr>
        <w:jc w:val="center"/>
      </w:pPr>
      <w:r>
        <w:rPr>
          <w:noProof/>
          <w:lang w:eastAsia="it-IT"/>
        </w:rPr>
        <w:drawing>
          <wp:inline distT="0" distB="0" distL="0" distR="0" wp14:anchorId="62C232AB">
            <wp:extent cx="3924000" cy="2750400"/>
            <wp:effectExtent l="0" t="0" r="635" b="0"/>
            <wp:docPr id="202"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24000" cy="2750400"/>
                    </a:xfrm>
                    <a:prstGeom prst="rect">
                      <a:avLst/>
                    </a:prstGeom>
                    <a:noFill/>
                  </pic:spPr>
                </pic:pic>
              </a:graphicData>
            </a:graphic>
          </wp:inline>
        </w:drawing>
      </w:r>
    </w:p>
    <w:p w:rsidR="00DA5D7E" w:rsidRDefault="00DA5D7E" w:rsidP="00DA5D7E">
      <w:pPr>
        <w:jc w:val="center"/>
      </w:pPr>
      <w:r>
        <w:rPr>
          <w:noProof/>
          <w:lang w:eastAsia="it-IT"/>
        </w:rPr>
        <w:lastRenderedPageBreak/>
        <w:drawing>
          <wp:inline distT="0" distB="0" distL="0" distR="0" wp14:anchorId="701760B5">
            <wp:extent cx="3931200" cy="2750400"/>
            <wp:effectExtent l="0" t="0" r="0" b="0"/>
            <wp:docPr id="20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1200" cy="2750400"/>
                    </a:xfrm>
                    <a:prstGeom prst="rect">
                      <a:avLst/>
                    </a:prstGeom>
                    <a:noFill/>
                  </pic:spPr>
                </pic:pic>
              </a:graphicData>
            </a:graphic>
          </wp:inline>
        </w:drawing>
      </w:r>
    </w:p>
    <w:p w:rsidR="00E204D7" w:rsidRDefault="00E204D7" w:rsidP="00207E05">
      <w:pPr>
        <w:rPr>
          <w:sz w:val="20"/>
          <w:szCs w:val="20"/>
        </w:rPr>
      </w:pPr>
    </w:p>
    <w:p w:rsidR="00243B24" w:rsidRDefault="00243B24" w:rsidP="00207E05">
      <w:pPr>
        <w:rPr>
          <w:sz w:val="20"/>
          <w:szCs w:val="20"/>
        </w:rPr>
      </w:pPr>
    </w:p>
    <w:p w:rsidR="00E204D7" w:rsidRDefault="00243B24" w:rsidP="00243B24">
      <w:pPr>
        <w:jc w:val="center"/>
        <w:rPr>
          <w:color w:val="2E74B5" w:themeColor="accent1" w:themeShade="BF"/>
          <w:sz w:val="32"/>
          <w:szCs w:val="32"/>
        </w:rPr>
      </w:pPr>
      <w:r w:rsidRPr="00243B24">
        <w:rPr>
          <w:color w:val="2E74B5" w:themeColor="accent1" w:themeShade="BF"/>
          <w:sz w:val="32"/>
          <w:szCs w:val="32"/>
        </w:rPr>
        <w:t>VIOLAZIONI E STRATEGIE DI CONTRASTO</w:t>
      </w:r>
    </w:p>
    <w:p w:rsidR="00243B24" w:rsidRPr="00243B24" w:rsidRDefault="00243B24" w:rsidP="00243B24">
      <w:pPr>
        <w:jc w:val="center"/>
        <w:rPr>
          <w:color w:val="2E74B5" w:themeColor="accent1" w:themeShade="BF"/>
          <w:sz w:val="32"/>
          <w:szCs w:val="32"/>
        </w:rPr>
      </w:pPr>
    </w:p>
    <w:p w:rsidR="009B33E3" w:rsidRDefault="00852443" w:rsidP="00207E05">
      <w:pPr>
        <w:rPr>
          <w:sz w:val="20"/>
          <w:szCs w:val="20"/>
        </w:rPr>
      </w:pPr>
      <w:r w:rsidRPr="00207E05">
        <w:rPr>
          <w:sz w:val="20"/>
          <w:szCs w:val="20"/>
        </w:rPr>
        <w:t xml:space="preserve">Analizzando la pura dinamica degli incidenti stradali non sorprende che le manovre maggiormente </w:t>
      </w:r>
      <w:r w:rsidR="00E204D7">
        <w:rPr>
          <w:sz w:val="20"/>
          <w:szCs w:val="20"/>
        </w:rPr>
        <w:t>produttive di eventi infortunistici siano</w:t>
      </w:r>
      <w:r w:rsidRPr="00207E05">
        <w:rPr>
          <w:sz w:val="20"/>
          <w:szCs w:val="20"/>
        </w:rPr>
        <w:t xml:space="preserve"> essenzialmente due; l’urto laterale e il tamponamento. Analizziamole entrambe. Nell’urto laterale si annida uno scarso rispetto dell’uso delle corsie. Ricordiamo che anche in autostrada vale la regola della l’</w:t>
      </w:r>
      <w:r w:rsidR="00207E05" w:rsidRPr="00207E05">
        <w:rPr>
          <w:sz w:val="20"/>
          <w:szCs w:val="20"/>
        </w:rPr>
        <w:t>uso della corsia di destra; le altre corsie possono essere utilizzate solo per l’esecuzione delle manovre di sorpasso e per il solo tempo necessario al completamento della manovra</w:t>
      </w:r>
      <w:r w:rsidR="00E204D7">
        <w:rPr>
          <w:sz w:val="20"/>
          <w:szCs w:val="20"/>
        </w:rPr>
        <w:t xml:space="preserve"> stessa</w:t>
      </w:r>
      <w:r w:rsidR="00207E05" w:rsidRPr="00207E05">
        <w:rPr>
          <w:sz w:val="20"/>
          <w:szCs w:val="20"/>
        </w:rPr>
        <w:t xml:space="preserve">. In tal senso l’uso degli indicatori di direzione è garanzia di sicurezza. </w:t>
      </w:r>
      <w:r w:rsidR="00207E05">
        <w:rPr>
          <w:sz w:val="20"/>
          <w:szCs w:val="20"/>
        </w:rPr>
        <w:t>Nel tamponamento invece si annida il mancato rispetto della distanza di sicurezza. Ricordiamo che il codice della str</w:t>
      </w:r>
      <w:r w:rsidR="00E204D7">
        <w:rPr>
          <w:sz w:val="20"/>
          <w:szCs w:val="20"/>
        </w:rPr>
        <w:t xml:space="preserve">ada non lo quantifica in forma rigidamente </w:t>
      </w:r>
      <w:r w:rsidR="00207E05">
        <w:rPr>
          <w:sz w:val="20"/>
          <w:szCs w:val="20"/>
        </w:rPr>
        <w:t xml:space="preserve">metrica; la distanza di sicurezza è rimessa al prudente apprezzamento dei conducenti in ordine a parametri generali tra i quali la velocità, la prontezza di riflessi del conducente, le condizioni della strada, </w:t>
      </w:r>
      <w:r w:rsidR="00491006">
        <w:rPr>
          <w:sz w:val="20"/>
          <w:szCs w:val="20"/>
        </w:rPr>
        <w:t xml:space="preserve">quelle </w:t>
      </w:r>
      <w:r w:rsidR="00207E05">
        <w:rPr>
          <w:sz w:val="20"/>
          <w:szCs w:val="20"/>
        </w:rPr>
        <w:t xml:space="preserve">atmosferiche, l’efficienza del veicolo, l’entità del carico. </w:t>
      </w:r>
      <w:r w:rsidR="00393163">
        <w:rPr>
          <w:sz w:val="20"/>
          <w:szCs w:val="20"/>
        </w:rPr>
        <w:t xml:space="preserve">Potremmo concludere osservando che se guidare è una attività complessa alla quale </w:t>
      </w:r>
      <w:r w:rsidR="00491006">
        <w:rPr>
          <w:sz w:val="20"/>
          <w:szCs w:val="20"/>
        </w:rPr>
        <w:t xml:space="preserve">il </w:t>
      </w:r>
      <w:r w:rsidR="00393163">
        <w:rPr>
          <w:sz w:val="20"/>
          <w:szCs w:val="20"/>
        </w:rPr>
        <w:t>conducente deve indirizzare tutte le sue energie psicofisiche per mettere in atto comportamenti virtuosi e sicuri, non occorre aggiungere ulteriori commenti rispetto alla pericolosità dell’elemento distrattivo</w:t>
      </w:r>
      <w:r w:rsidR="00491006">
        <w:rPr>
          <w:sz w:val="20"/>
          <w:szCs w:val="20"/>
        </w:rPr>
        <w:t xml:space="preserve">. </w:t>
      </w:r>
      <w:r w:rsidR="009B33E3">
        <w:rPr>
          <w:sz w:val="20"/>
          <w:szCs w:val="20"/>
        </w:rPr>
        <w:t>D’altronde il killer silenzioso, la vera minaccia alla sicurezza stradale è ormai da anni la distrazione che non può che declinarsi con l’uso improprio dello smartphone. Nulla come questa incosciente condotta mette maggiormente a repentaglio l’incolumità e la vita dei conducenti.</w:t>
      </w:r>
    </w:p>
    <w:p w:rsidR="009B33E3" w:rsidRDefault="00F36800" w:rsidP="00207E05">
      <w:pPr>
        <w:rPr>
          <w:sz w:val="20"/>
          <w:szCs w:val="20"/>
        </w:rPr>
      </w:pPr>
      <w:r>
        <w:rPr>
          <w:sz w:val="20"/>
          <w:szCs w:val="20"/>
        </w:rPr>
        <w:t xml:space="preserve">Le azioni di contrasto a tale, pericolosissima condotta, hanno determinato l’accertamento di 1074 violazioni per uso illecito dello smartphone, mentre sono state 5085 per eccesso di velocità e 57 per guida in stato di ebbrezza. </w:t>
      </w:r>
    </w:p>
    <w:p w:rsidR="00F36800" w:rsidRDefault="00F36800" w:rsidP="00207E05">
      <w:pPr>
        <w:rPr>
          <w:sz w:val="20"/>
          <w:szCs w:val="20"/>
        </w:rPr>
      </w:pPr>
      <w:r>
        <w:rPr>
          <w:sz w:val="20"/>
          <w:szCs w:val="20"/>
        </w:rPr>
        <w:t xml:space="preserve">La linea rossa della </w:t>
      </w:r>
      <w:r w:rsidR="00304FC1">
        <w:rPr>
          <w:sz w:val="20"/>
          <w:szCs w:val="20"/>
        </w:rPr>
        <w:t>prevenzione, conduce</w:t>
      </w:r>
      <w:r>
        <w:rPr>
          <w:sz w:val="20"/>
          <w:szCs w:val="20"/>
        </w:rPr>
        <w:t xml:space="preserve"> indubbiamente alla necessità di verificare come il conducente si comporti durante la guida nei suoi comportamenti all’interno dell’abitacolo del veicolo. Questa è la nuova esigenza operativa, questa è la nu</w:t>
      </w:r>
      <w:r w:rsidR="00304FC1">
        <w:rPr>
          <w:sz w:val="20"/>
          <w:szCs w:val="20"/>
        </w:rPr>
        <w:t>ova frontiera del controllo di Polizia S</w:t>
      </w:r>
      <w:r>
        <w:rPr>
          <w:sz w:val="20"/>
          <w:szCs w:val="20"/>
        </w:rPr>
        <w:t>tradale.</w:t>
      </w:r>
    </w:p>
    <w:p w:rsidR="00243B24" w:rsidRDefault="00F36800" w:rsidP="00207E05">
      <w:pPr>
        <w:rPr>
          <w:sz w:val="20"/>
          <w:szCs w:val="20"/>
        </w:rPr>
      </w:pPr>
      <w:r>
        <w:rPr>
          <w:sz w:val="20"/>
          <w:szCs w:val="20"/>
        </w:rPr>
        <w:t xml:space="preserve">Non è più sufficiente verificare come l’errato comportamento del conducente si manifesti plasticamente nell’errato comportamento del veicolo; occorre anticipare il momento del controllo all’istante in cui conducente si determina a mettere in atto comportamenti pericolosi e incoerenti rispetto alla guida come utilizzare impropriamente il cellulare, </w:t>
      </w:r>
      <w:r w:rsidR="00243B24">
        <w:rPr>
          <w:sz w:val="20"/>
          <w:szCs w:val="20"/>
        </w:rPr>
        <w:t>lo</w:t>
      </w:r>
      <w:r>
        <w:rPr>
          <w:sz w:val="20"/>
          <w:szCs w:val="20"/>
        </w:rPr>
        <w:t xml:space="preserve"> smartphone, </w:t>
      </w:r>
      <w:r w:rsidR="00243B24">
        <w:rPr>
          <w:sz w:val="20"/>
          <w:szCs w:val="20"/>
        </w:rPr>
        <w:t>il</w:t>
      </w:r>
      <w:r>
        <w:rPr>
          <w:sz w:val="20"/>
          <w:szCs w:val="20"/>
        </w:rPr>
        <w:t xml:space="preserve"> tablet o il note book.</w:t>
      </w:r>
    </w:p>
    <w:p w:rsidR="00304FC1" w:rsidRDefault="00304FC1" w:rsidP="00207E05">
      <w:pPr>
        <w:rPr>
          <w:sz w:val="20"/>
          <w:szCs w:val="20"/>
        </w:rPr>
      </w:pPr>
    </w:p>
    <w:p w:rsidR="00304FC1" w:rsidRDefault="00304FC1" w:rsidP="00207E05">
      <w:pPr>
        <w:rPr>
          <w:sz w:val="20"/>
          <w:szCs w:val="20"/>
        </w:rPr>
      </w:pPr>
    </w:p>
    <w:p w:rsidR="00AD3719" w:rsidRPr="00AD3719" w:rsidRDefault="00AD3719" w:rsidP="00207E05">
      <w:pPr>
        <w:rPr>
          <w:b/>
          <w:sz w:val="20"/>
          <w:szCs w:val="20"/>
        </w:rPr>
      </w:pPr>
      <w:r w:rsidRPr="00AD3719">
        <w:rPr>
          <w:b/>
          <w:sz w:val="20"/>
          <w:szCs w:val="20"/>
        </w:rPr>
        <w:lastRenderedPageBreak/>
        <w:t>CONCLUSIONI</w:t>
      </w:r>
    </w:p>
    <w:p w:rsidR="00852443" w:rsidRDefault="00304FC1" w:rsidP="00207E05">
      <w:pPr>
        <w:rPr>
          <w:sz w:val="20"/>
          <w:szCs w:val="20"/>
        </w:rPr>
      </w:pPr>
      <w:r>
        <w:rPr>
          <w:sz w:val="20"/>
          <w:szCs w:val="20"/>
        </w:rPr>
        <w:t xml:space="preserve">E’ di tutta evidenza come la </w:t>
      </w:r>
      <w:r w:rsidRPr="00304FC1">
        <w:rPr>
          <w:b/>
          <w:sz w:val="20"/>
          <w:szCs w:val="20"/>
        </w:rPr>
        <w:t xml:space="preserve">“sicurezza </w:t>
      </w:r>
      <w:r w:rsidR="00543C11" w:rsidRPr="00304FC1">
        <w:rPr>
          <w:b/>
          <w:sz w:val="20"/>
          <w:szCs w:val="20"/>
        </w:rPr>
        <w:t>stradale”</w:t>
      </w:r>
      <w:r w:rsidR="00543C11">
        <w:rPr>
          <w:sz w:val="20"/>
          <w:szCs w:val="20"/>
        </w:rPr>
        <w:t xml:space="preserve"> e</w:t>
      </w:r>
      <w:r>
        <w:rPr>
          <w:sz w:val="20"/>
          <w:szCs w:val="20"/>
        </w:rPr>
        <w:t xml:space="preserve"> la sua </w:t>
      </w:r>
      <w:r w:rsidRPr="00AD3719">
        <w:rPr>
          <w:b/>
          <w:sz w:val="20"/>
          <w:szCs w:val="20"/>
        </w:rPr>
        <w:t>“tutela”</w:t>
      </w:r>
      <w:r>
        <w:rPr>
          <w:sz w:val="20"/>
          <w:szCs w:val="20"/>
        </w:rPr>
        <w:t xml:space="preserve"> come “</w:t>
      </w:r>
      <w:r w:rsidRPr="00304FC1">
        <w:rPr>
          <w:b/>
          <w:sz w:val="20"/>
          <w:szCs w:val="20"/>
        </w:rPr>
        <w:t>bene giuridico”,</w:t>
      </w:r>
      <w:r w:rsidR="00AD3719">
        <w:rPr>
          <w:b/>
          <w:sz w:val="20"/>
          <w:szCs w:val="20"/>
        </w:rPr>
        <w:t xml:space="preserve"> </w:t>
      </w:r>
      <w:r w:rsidRPr="00304FC1">
        <w:rPr>
          <w:sz w:val="20"/>
          <w:szCs w:val="20"/>
        </w:rPr>
        <w:t>sia</w:t>
      </w:r>
      <w:r>
        <w:rPr>
          <w:sz w:val="20"/>
          <w:szCs w:val="20"/>
        </w:rPr>
        <w:t xml:space="preserve"> la risultante di una pluralità di fattori </w:t>
      </w:r>
      <w:r w:rsidR="00AD3719">
        <w:rPr>
          <w:sz w:val="20"/>
          <w:szCs w:val="20"/>
        </w:rPr>
        <w:t>che riservano alla Polizia Stradale, un ruolo di “raccordo e propulsivo”,</w:t>
      </w:r>
      <w:r w:rsidR="00286FA0">
        <w:rPr>
          <w:sz w:val="20"/>
          <w:szCs w:val="20"/>
        </w:rPr>
        <w:t xml:space="preserve"> </w:t>
      </w:r>
      <w:r w:rsidR="00AD3719">
        <w:rPr>
          <w:sz w:val="20"/>
          <w:szCs w:val="20"/>
        </w:rPr>
        <w:t xml:space="preserve">ruolo che viene declinato con azioni di </w:t>
      </w:r>
      <w:r w:rsidR="00AD3719" w:rsidRPr="00AD3719">
        <w:rPr>
          <w:b/>
          <w:sz w:val="20"/>
          <w:szCs w:val="20"/>
        </w:rPr>
        <w:t>prevenzione</w:t>
      </w:r>
      <w:r w:rsidR="00AD3719">
        <w:rPr>
          <w:sz w:val="20"/>
          <w:szCs w:val="20"/>
        </w:rPr>
        <w:t>,</w:t>
      </w:r>
      <w:r w:rsidR="00286FA0">
        <w:rPr>
          <w:sz w:val="20"/>
          <w:szCs w:val="20"/>
        </w:rPr>
        <w:t xml:space="preserve"> </w:t>
      </w:r>
      <w:r w:rsidR="00AD3719">
        <w:rPr>
          <w:sz w:val="20"/>
          <w:szCs w:val="20"/>
        </w:rPr>
        <w:t xml:space="preserve">il pattugliamento, e di </w:t>
      </w:r>
      <w:r w:rsidR="00AD3719" w:rsidRPr="00AD3719">
        <w:rPr>
          <w:b/>
          <w:sz w:val="20"/>
          <w:szCs w:val="20"/>
        </w:rPr>
        <w:t>repressione</w:t>
      </w:r>
      <w:r w:rsidR="00AD3719">
        <w:rPr>
          <w:sz w:val="20"/>
          <w:szCs w:val="20"/>
        </w:rPr>
        <w:t>, l’accertamento della infrazione e la sua contestazione.</w:t>
      </w:r>
      <w:r>
        <w:rPr>
          <w:sz w:val="20"/>
          <w:szCs w:val="20"/>
        </w:rPr>
        <w:t xml:space="preserve"> </w:t>
      </w:r>
      <w:r w:rsidR="00AD3719">
        <w:rPr>
          <w:sz w:val="20"/>
          <w:szCs w:val="20"/>
        </w:rPr>
        <w:t xml:space="preserve">Il partenariato con la Concessionaria, in questo caso Autovie Venete, genera una operatività sinergica formidabile, che diventa irresistibile, se ad essa si accompagnano </w:t>
      </w:r>
      <w:r w:rsidR="00543C11">
        <w:rPr>
          <w:sz w:val="20"/>
          <w:szCs w:val="20"/>
        </w:rPr>
        <w:t>comportamenti sempre</w:t>
      </w:r>
      <w:r w:rsidR="00AD3719">
        <w:rPr>
          <w:sz w:val="20"/>
          <w:szCs w:val="20"/>
        </w:rPr>
        <w:t xml:space="preserve"> più virtuosi e rispettosi delle regole, a cura degli a</w:t>
      </w:r>
      <w:r w:rsidR="00286FA0">
        <w:rPr>
          <w:sz w:val="20"/>
          <w:szCs w:val="20"/>
        </w:rPr>
        <w:t>utomobilisti. Ci piace riprendere</w:t>
      </w:r>
      <w:r w:rsidR="00AD3719">
        <w:rPr>
          <w:sz w:val="20"/>
          <w:szCs w:val="20"/>
        </w:rPr>
        <w:t xml:space="preserve"> alcuni slogan che sono identitari della Polizia di Stato, così come ricordati dal Capo della Polizia nel corso delle celebrazioni della ricorrenza del suo </w:t>
      </w:r>
      <w:r w:rsidR="00543C11">
        <w:rPr>
          <w:sz w:val="20"/>
          <w:szCs w:val="20"/>
        </w:rPr>
        <w:t>anniversario:</w:t>
      </w:r>
      <w:r w:rsidR="00AD3719">
        <w:rPr>
          <w:sz w:val="20"/>
          <w:szCs w:val="20"/>
        </w:rPr>
        <w:t xml:space="preserve"> ESSERCI SEMPRE e C’E PIU’ S</w:t>
      </w:r>
      <w:r w:rsidR="008B09EA">
        <w:rPr>
          <w:sz w:val="20"/>
          <w:szCs w:val="20"/>
        </w:rPr>
        <w:t>ICUREZZA INSIEME.</w:t>
      </w:r>
      <w:r w:rsidR="00243B24">
        <w:rPr>
          <w:sz w:val="20"/>
          <w:szCs w:val="20"/>
        </w:rPr>
        <w:t xml:space="preserve"> </w:t>
      </w:r>
      <w:r w:rsidR="00543C11">
        <w:rPr>
          <w:sz w:val="20"/>
          <w:szCs w:val="20"/>
        </w:rPr>
        <w:t>Ques</w:t>
      </w:r>
      <w:r w:rsidR="00286FA0">
        <w:rPr>
          <w:sz w:val="20"/>
          <w:szCs w:val="20"/>
        </w:rPr>
        <w:t>t</w:t>
      </w:r>
      <w:r w:rsidR="00543C11">
        <w:rPr>
          <w:sz w:val="20"/>
          <w:szCs w:val="20"/>
        </w:rPr>
        <w:t>’anno,</w:t>
      </w:r>
      <w:r w:rsidR="00286FA0">
        <w:rPr>
          <w:sz w:val="20"/>
          <w:szCs w:val="20"/>
        </w:rPr>
        <w:t xml:space="preserve"> </w:t>
      </w:r>
      <w:r w:rsidR="00543C11">
        <w:rPr>
          <w:sz w:val="20"/>
          <w:szCs w:val="20"/>
        </w:rPr>
        <w:t>ricorrerà,</w:t>
      </w:r>
      <w:r w:rsidR="00286FA0">
        <w:rPr>
          <w:sz w:val="20"/>
          <w:szCs w:val="20"/>
        </w:rPr>
        <w:t xml:space="preserve"> </w:t>
      </w:r>
      <w:r w:rsidR="00543C11">
        <w:rPr>
          <w:sz w:val="20"/>
          <w:szCs w:val="20"/>
        </w:rPr>
        <w:t xml:space="preserve">festeggiato il 12 Aprile, il </w:t>
      </w:r>
      <w:r w:rsidR="00543C11" w:rsidRPr="00543C11">
        <w:rPr>
          <w:b/>
          <w:sz w:val="20"/>
          <w:szCs w:val="20"/>
        </w:rPr>
        <w:t>170°</w:t>
      </w:r>
      <w:r w:rsidR="00543C11">
        <w:rPr>
          <w:sz w:val="20"/>
          <w:szCs w:val="20"/>
        </w:rPr>
        <w:t xml:space="preserve"> anniversario della sua fondazione.</w:t>
      </w:r>
    </w:p>
    <w:p w:rsidR="00286FA0" w:rsidRDefault="00286FA0" w:rsidP="00207E05">
      <w:pPr>
        <w:rPr>
          <w:sz w:val="20"/>
          <w:szCs w:val="20"/>
        </w:rPr>
      </w:pPr>
    </w:p>
    <w:p w:rsidR="00543C11" w:rsidRDefault="00286FA0" w:rsidP="00207E05">
      <w:pPr>
        <w:rPr>
          <w:sz w:val="20"/>
          <w:szCs w:val="20"/>
        </w:rPr>
      </w:pPr>
      <w:r>
        <w:rPr>
          <w:sz w:val="20"/>
          <w:szCs w:val="20"/>
        </w:rPr>
        <w:t>Villesse, 24</w:t>
      </w:r>
      <w:r w:rsidR="00543C11">
        <w:rPr>
          <w:sz w:val="20"/>
          <w:szCs w:val="20"/>
        </w:rPr>
        <w:t xml:space="preserve">.2.2022                                                                                                                        </w:t>
      </w:r>
    </w:p>
    <w:p w:rsidR="00543C11" w:rsidRPr="00207E05" w:rsidRDefault="00543C11" w:rsidP="00207E05">
      <w:pPr>
        <w:rPr>
          <w:sz w:val="20"/>
          <w:szCs w:val="20"/>
        </w:rPr>
      </w:pPr>
      <w:r>
        <w:rPr>
          <w:sz w:val="20"/>
          <w:szCs w:val="20"/>
        </w:rPr>
        <w:t xml:space="preserve">              </w:t>
      </w:r>
    </w:p>
    <w:p w:rsidR="00286FA0" w:rsidRPr="00207E05" w:rsidRDefault="00286FA0">
      <w:pPr>
        <w:rPr>
          <w:sz w:val="20"/>
          <w:szCs w:val="20"/>
        </w:rPr>
      </w:pPr>
    </w:p>
    <w:sectPr w:rsidR="00286FA0" w:rsidRPr="00207E05" w:rsidSect="008A1469">
      <w:footerReference w:type="default" r:id="rId22"/>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85E" w:rsidRDefault="00B1585E" w:rsidP="001F3671">
      <w:pPr>
        <w:spacing w:after="0" w:line="240" w:lineRule="auto"/>
      </w:pPr>
      <w:r>
        <w:separator/>
      </w:r>
    </w:p>
  </w:endnote>
  <w:endnote w:type="continuationSeparator" w:id="0">
    <w:p w:rsidR="00B1585E" w:rsidRDefault="00B1585E" w:rsidP="001F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782197"/>
      <w:docPartObj>
        <w:docPartGallery w:val="Page Numbers (Bottom of Page)"/>
        <w:docPartUnique/>
      </w:docPartObj>
    </w:sdtPr>
    <w:sdtEndPr/>
    <w:sdtContent>
      <w:p w:rsidR="0074722E" w:rsidRDefault="0074722E">
        <w:pPr>
          <w:pStyle w:val="Pidipagina"/>
          <w:jc w:val="right"/>
        </w:pPr>
        <w:r>
          <w:fldChar w:fldCharType="begin"/>
        </w:r>
        <w:r>
          <w:instrText>PAGE   \* MERGEFORMAT</w:instrText>
        </w:r>
        <w:r>
          <w:fldChar w:fldCharType="separate"/>
        </w:r>
        <w:r w:rsidR="00970C1B">
          <w:rPr>
            <w:noProof/>
          </w:rPr>
          <w:t>1</w:t>
        </w:r>
        <w:r>
          <w:fldChar w:fldCharType="end"/>
        </w:r>
      </w:p>
    </w:sdtContent>
  </w:sdt>
  <w:p w:rsidR="00017C63" w:rsidRDefault="00017C6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85E" w:rsidRDefault="00B1585E" w:rsidP="001F3671">
      <w:pPr>
        <w:spacing w:after="0" w:line="240" w:lineRule="auto"/>
      </w:pPr>
      <w:r>
        <w:separator/>
      </w:r>
    </w:p>
  </w:footnote>
  <w:footnote w:type="continuationSeparator" w:id="0">
    <w:p w:rsidR="00B1585E" w:rsidRDefault="00B1585E" w:rsidP="001F36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79"/>
    <w:rsid w:val="00002E3E"/>
    <w:rsid w:val="00002FFC"/>
    <w:rsid w:val="00010481"/>
    <w:rsid w:val="00014611"/>
    <w:rsid w:val="00016119"/>
    <w:rsid w:val="00017C63"/>
    <w:rsid w:val="00020A6E"/>
    <w:rsid w:val="00021F18"/>
    <w:rsid w:val="00023A41"/>
    <w:rsid w:val="00024589"/>
    <w:rsid w:val="00033EFD"/>
    <w:rsid w:val="000356B0"/>
    <w:rsid w:val="00042428"/>
    <w:rsid w:val="000438A1"/>
    <w:rsid w:val="00044AF1"/>
    <w:rsid w:val="00046251"/>
    <w:rsid w:val="0004775C"/>
    <w:rsid w:val="00052202"/>
    <w:rsid w:val="000530FE"/>
    <w:rsid w:val="000638EE"/>
    <w:rsid w:val="0006390F"/>
    <w:rsid w:val="000641E7"/>
    <w:rsid w:val="00064FD7"/>
    <w:rsid w:val="00066638"/>
    <w:rsid w:val="000764A8"/>
    <w:rsid w:val="00077F8B"/>
    <w:rsid w:val="000854F0"/>
    <w:rsid w:val="00090555"/>
    <w:rsid w:val="00091C3F"/>
    <w:rsid w:val="000921C6"/>
    <w:rsid w:val="000977A8"/>
    <w:rsid w:val="000A2F05"/>
    <w:rsid w:val="000A461A"/>
    <w:rsid w:val="000A6AAB"/>
    <w:rsid w:val="000B24D9"/>
    <w:rsid w:val="000B2EB7"/>
    <w:rsid w:val="000B4966"/>
    <w:rsid w:val="000B4F5B"/>
    <w:rsid w:val="000B727A"/>
    <w:rsid w:val="000C173F"/>
    <w:rsid w:val="000C29FD"/>
    <w:rsid w:val="000C3107"/>
    <w:rsid w:val="000C62C5"/>
    <w:rsid w:val="000D4356"/>
    <w:rsid w:val="000D7F1F"/>
    <w:rsid w:val="000E2147"/>
    <w:rsid w:val="000E4F84"/>
    <w:rsid w:val="000F3D3B"/>
    <w:rsid w:val="000F4623"/>
    <w:rsid w:val="000F48E2"/>
    <w:rsid w:val="00102AAB"/>
    <w:rsid w:val="0011043F"/>
    <w:rsid w:val="00110E20"/>
    <w:rsid w:val="00111E9E"/>
    <w:rsid w:val="001150DB"/>
    <w:rsid w:val="00117085"/>
    <w:rsid w:val="001226D4"/>
    <w:rsid w:val="0012635D"/>
    <w:rsid w:val="001263F4"/>
    <w:rsid w:val="00126C06"/>
    <w:rsid w:val="00127120"/>
    <w:rsid w:val="00132BD1"/>
    <w:rsid w:val="00136C18"/>
    <w:rsid w:val="00143FD8"/>
    <w:rsid w:val="00146B89"/>
    <w:rsid w:val="00154EBA"/>
    <w:rsid w:val="00171B6F"/>
    <w:rsid w:val="0017232B"/>
    <w:rsid w:val="001724A5"/>
    <w:rsid w:val="00175F93"/>
    <w:rsid w:val="0017721D"/>
    <w:rsid w:val="0018125F"/>
    <w:rsid w:val="0018550F"/>
    <w:rsid w:val="00186556"/>
    <w:rsid w:val="00187063"/>
    <w:rsid w:val="001911D5"/>
    <w:rsid w:val="00192F5A"/>
    <w:rsid w:val="001960F4"/>
    <w:rsid w:val="0019754A"/>
    <w:rsid w:val="001A0A79"/>
    <w:rsid w:val="001A23D9"/>
    <w:rsid w:val="001A32C0"/>
    <w:rsid w:val="001A6A65"/>
    <w:rsid w:val="001A6E6F"/>
    <w:rsid w:val="001A7CFA"/>
    <w:rsid w:val="001B278E"/>
    <w:rsid w:val="001B4B4C"/>
    <w:rsid w:val="001B77D4"/>
    <w:rsid w:val="001C1683"/>
    <w:rsid w:val="001C327D"/>
    <w:rsid w:val="001C486A"/>
    <w:rsid w:val="001C5F14"/>
    <w:rsid w:val="001C7000"/>
    <w:rsid w:val="001D1F25"/>
    <w:rsid w:val="001E11E7"/>
    <w:rsid w:val="001E48CD"/>
    <w:rsid w:val="001E5447"/>
    <w:rsid w:val="001F246C"/>
    <w:rsid w:val="001F3671"/>
    <w:rsid w:val="001F4B19"/>
    <w:rsid w:val="001F53F9"/>
    <w:rsid w:val="001F65E5"/>
    <w:rsid w:val="00204AEC"/>
    <w:rsid w:val="00204E4E"/>
    <w:rsid w:val="00207E05"/>
    <w:rsid w:val="00211295"/>
    <w:rsid w:val="00211AA6"/>
    <w:rsid w:val="0021474A"/>
    <w:rsid w:val="00217807"/>
    <w:rsid w:val="00220D19"/>
    <w:rsid w:val="00224CA5"/>
    <w:rsid w:val="00233FE9"/>
    <w:rsid w:val="00237297"/>
    <w:rsid w:val="002374A5"/>
    <w:rsid w:val="002412D5"/>
    <w:rsid w:val="00242F8E"/>
    <w:rsid w:val="00243B24"/>
    <w:rsid w:val="00245C1F"/>
    <w:rsid w:val="0024653A"/>
    <w:rsid w:val="00256B73"/>
    <w:rsid w:val="00263099"/>
    <w:rsid w:val="002702B5"/>
    <w:rsid w:val="002705C4"/>
    <w:rsid w:val="002708FC"/>
    <w:rsid w:val="00271255"/>
    <w:rsid w:val="00272A05"/>
    <w:rsid w:val="00276ED6"/>
    <w:rsid w:val="00283510"/>
    <w:rsid w:val="0028608F"/>
    <w:rsid w:val="00286FA0"/>
    <w:rsid w:val="00292723"/>
    <w:rsid w:val="00294263"/>
    <w:rsid w:val="00295BBC"/>
    <w:rsid w:val="002975EA"/>
    <w:rsid w:val="002A03F1"/>
    <w:rsid w:val="002B5A0A"/>
    <w:rsid w:val="002B627F"/>
    <w:rsid w:val="002B7F08"/>
    <w:rsid w:val="002C2183"/>
    <w:rsid w:val="002C651D"/>
    <w:rsid w:val="002C6A41"/>
    <w:rsid w:val="002D14F9"/>
    <w:rsid w:val="002D308C"/>
    <w:rsid w:val="002D572F"/>
    <w:rsid w:val="002E2B77"/>
    <w:rsid w:val="002F4246"/>
    <w:rsid w:val="002F57D8"/>
    <w:rsid w:val="00301172"/>
    <w:rsid w:val="003043A0"/>
    <w:rsid w:val="00304FC1"/>
    <w:rsid w:val="003062AF"/>
    <w:rsid w:val="0031074C"/>
    <w:rsid w:val="00312C37"/>
    <w:rsid w:val="00321190"/>
    <w:rsid w:val="00322CD5"/>
    <w:rsid w:val="00324262"/>
    <w:rsid w:val="00331307"/>
    <w:rsid w:val="0033511F"/>
    <w:rsid w:val="003356E6"/>
    <w:rsid w:val="0033598F"/>
    <w:rsid w:val="00336682"/>
    <w:rsid w:val="00336ED2"/>
    <w:rsid w:val="0034620A"/>
    <w:rsid w:val="00346826"/>
    <w:rsid w:val="0035453C"/>
    <w:rsid w:val="003570AC"/>
    <w:rsid w:val="00357385"/>
    <w:rsid w:val="00362244"/>
    <w:rsid w:val="00371B6C"/>
    <w:rsid w:val="0037375B"/>
    <w:rsid w:val="00375BCA"/>
    <w:rsid w:val="003832C3"/>
    <w:rsid w:val="00384585"/>
    <w:rsid w:val="00385BBD"/>
    <w:rsid w:val="0038636A"/>
    <w:rsid w:val="003871A6"/>
    <w:rsid w:val="003904F3"/>
    <w:rsid w:val="00392913"/>
    <w:rsid w:val="00393163"/>
    <w:rsid w:val="003937A6"/>
    <w:rsid w:val="003944AC"/>
    <w:rsid w:val="003956BA"/>
    <w:rsid w:val="003B1DDA"/>
    <w:rsid w:val="003B5C6A"/>
    <w:rsid w:val="003B6125"/>
    <w:rsid w:val="003C0374"/>
    <w:rsid w:val="003C4920"/>
    <w:rsid w:val="003C6693"/>
    <w:rsid w:val="003C704D"/>
    <w:rsid w:val="003E0018"/>
    <w:rsid w:val="003E11E5"/>
    <w:rsid w:val="003E3043"/>
    <w:rsid w:val="003E7924"/>
    <w:rsid w:val="003E7D85"/>
    <w:rsid w:val="003F6688"/>
    <w:rsid w:val="00400CE2"/>
    <w:rsid w:val="004064BF"/>
    <w:rsid w:val="004107B0"/>
    <w:rsid w:val="00411A35"/>
    <w:rsid w:val="00415285"/>
    <w:rsid w:val="004219C3"/>
    <w:rsid w:val="004240E7"/>
    <w:rsid w:val="00426F43"/>
    <w:rsid w:val="00427F71"/>
    <w:rsid w:val="00431677"/>
    <w:rsid w:val="00434C29"/>
    <w:rsid w:val="00440F06"/>
    <w:rsid w:val="0044118A"/>
    <w:rsid w:val="00441276"/>
    <w:rsid w:val="00444C8A"/>
    <w:rsid w:val="00446657"/>
    <w:rsid w:val="00447B48"/>
    <w:rsid w:val="0045421C"/>
    <w:rsid w:val="00456AD5"/>
    <w:rsid w:val="0046398B"/>
    <w:rsid w:val="004659F4"/>
    <w:rsid w:val="00471207"/>
    <w:rsid w:val="00475DA9"/>
    <w:rsid w:val="00480D93"/>
    <w:rsid w:val="00481BBA"/>
    <w:rsid w:val="004829A4"/>
    <w:rsid w:val="00486E97"/>
    <w:rsid w:val="00490894"/>
    <w:rsid w:val="00490A70"/>
    <w:rsid w:val="00491006"/>
    <w:rsid w:val="004A0CEF"/>
    <w:rsid w:val="004A660E"/>
    <w:rsid w:val="004B16E6"/>
    <w:rsid w:val="004D17D8"/>
    <w:rsid w:val="004D68E4"/>
    <w:rsid w:val="004D6FA5"/>
    <w:rsid w:val="004E5870"/>
    <w:rsid w:val="004E7F9B"/>
    <w:rsid w:val="004F0DF5"/>
    <w:rsid w:val="004F717C"/>
    <w:rsid w:val="004F727D"/>
    <w:rsid w:val="004F7BB4"/>
    <w:rsid w:val="00502AE3"/>
    <w:rsid w:val="005135EA"/>
    <w:rsid w:val="00513A95"/>
    <w:rsid w:val="00527916"/>
    <w:rsid w:val="00530388"/>
    <w:rsid w:val="005354D7"/>
    <w:rsid w:val="00536343"/>
    <w:rsid w:val="005425A9"/>
    <w:rsid w:val="00543C11"/>
    <w:rsid w:val="00543EB4"/>
    <w:rsid w:val="00546F70"/>
    <w:rsid w:val="0054778B"/>
    <w:rsid w:val="00547EBD"/>
    <w:rsid w:val="0055298A"/>
    <w:rsid w:val="00555931"/>
    <w:rsid w:val="005567CB"/>
    <w:rsid w:val="00564FE3"/>
    <w:rsid w:val="005727FC"/>
    <w:rsid w:val="0057467E"/>
    <w:rsid w:val="00574E9C"/>
    <w:rsid w:val="005809F5"/>
    <w:rsid w:val="005826BF"/>
    <w:rsid w:val="00590A8A"/>
    <w:rsid w:val="005A45AE"/>
    <w:rsid w:val="005B1A88"/>
    <w:rsid w:val="005B1D0A"/>
    <w:rsid w:val="005B4580"/>
    <w:rsid w:val="005C39FC"/>
    <w:rsid w:val="005D05B9"/>
    <w:rsid w:val="005D1EED"/>
    <w:rsid w:val="005D5B3E"/>
    <w:rsid w:val="005E7978"/>
    <w:rsid w:val="005F0703"/>
    <w:rsid w:val="005F1DFE"/>
    <w:rsid w:val="005F3B55"/>
    <w:rsid w:val="00600CF5"/>
    <w:rsid w:val="00605956"/>
    <w:rsid w:val="00611916"/>
    <w:rsid w:val="00612793"/>
    <w:rsid w:val="0061400A"/>
    <w:rsid w:val="00616CAB"/>
    <w:rsid w:val="00621853"/>
    <w:rsid w:val="00625646"/>
    <w:rsid w:val="00625B52"/>
    <w:rsid w:val="00627B8B"/>
    <w:rsid w:val="00637AC5"/>
    <w:rsid w:val="00641089"/>
    <w:rsid w:val="006414DF"/>
    <w:rsid w:val="00642EF9"/>
    <w:rsid w:val="00651F6C"/>
    <w:rsid w:val="00656242"/>
    <w:rsid w:val="0066328D"/>
    <w:rsid w:val="006637B0"/>
    <w:rsid w:val="00674885"/>
    <w:rsid w:val="0067554D"/>
    <w:rsid w:val="006774D7"/>
    <w:rsid w:val="00685AD0"/>
    <w:rsid w:val="006913DC"/>
    <w:rsid w:val="0069450E"/>
    <w:rsid w:val="00697552"/>
    <w:rsid w:val="006A0F0C"/>
    <w:rsid w:val="006A741F"/>
    <w:rsid w:val="006A7BC1"/>
    <w:rsid w:val="006B3D8C"/>
    <w:rsid w:val="006B44A9"/>
    <w:rsid w:val="006B758C"/>
    <w:rsid w:val="006C0533"/>
    <w:rsid w:val="006C0BA4"/>
    <w:rsid w:val="006C21B5"/>
    <w:rsid w:val="006C2DC0"/>
    <w:rsid w:val="006C2F9E"/>
    <w:rsid w:val="006C3A1E"/>
    <w:rsid w:val="006C3C6E"/>
    <w:rsid w:val="006C521F"/>
    <w:rsid w:val="006D055A"/>
    <w:rsid w:val="006D4419"/>
    <w:rsid w:val="006D5710"/>
    <w:rsid w:val="006D64ED"/>
    <w:rsid w:val="006D6940"/>
    <w:rsid w:val="006E127E"/>
    <w:rsid w:val="006E1656"/>
    <w:rsid w:val="006E1C4E"/>
    <w:rsid w:val="006E6406"/>
    <w:rsid w:val="00700568"/>
    <w:rsid w:val="00700931"/>
    <w:rsid w:val="00704E57"/>
    <w:rsid w:val="007058BB"/>
    <w:rsid w:val="0071471B"/>
    <w:rsid w:val="00721ED2"/>
    <w:rsid w:val="00722EDB"/>
    <w:rsid w:val="00727C67"/>
    <w:rsid w:val="00736333"/>
    <w:rsid w:val="00737C1D"/>
    <w:rsid w:val="007427FB"/>
    <w:rsid w:val="00745718"/>
    <w:rsid w:val="0074722E"/>
    <w:rsid w:val="0075508D"/>
    <w:rsid w:val="00757698"/>
    <w:rsid w:val="00762799"/>
    <w:rsid w:val="00764EFA"/>
    <w:rsid w:val="00765E88"/>
    <w:rsid w:val="00771125"/>
    <w:rsid w:val="007746BC"/>
    <w:rsid w:val="00777D8F"/>
    <w:rsid w:val="00783FC9"/>
    <w:rsid w:val="00791ADF"/>
    <w:rsid w:val="007A354F"/>
    <w:rsid w:val="007A47E0"/>
    <w:rsid w:val="007A7670"/>
    <w:rsid w:val="007A7D43"/>
    <w:rsid w:val="007B18C0"/>
    <w:rsid w:val="007B4BD1"/>
    <w:rsid w:val="007C19C9"/>
    <w:rsid w:val="007C1D0A"/>
    <w:rsid w:val="007C3F34"/>
    <w:rsid w:val="007D34F0"/>
    <w:rsid w:val="007D6364"/>
    <w:rsid w:val="007E6B73"/>
    <w:rsid w:val="007E7030"/>
    <w:rsid w:val="007E715F"/>
    <w:rsid w:val="007F776D"/>
    <w:rsid w:val="007F7F53"/>
    <w:rsid w:val="0080054D"/>
    <w:rsid w:val="00806BC4"/>
    <w:rsid w:val="0080710F"/>
    <w:rsid w:val="00811AE8"/>
    <w:rsid w:val="008135CF"/>
    <w:rsid w:val="008139B3"/>
    <w:rsid w:val="00814465"/>
    <w:rsid w:val="0081446D"/>
    <w:rsid w:val="00822BF0"/>
    <w:rsid w:val="008235A9"/>
    <w:rsid w:val="00826B7C"/>
    <w:rsid w:val="00830172"/>
    <w:rsid w:val="00830452"/>
    <w:rsid w:val="00831DFA"/>
    <w:rsid w:val="00832791"/>
    <w:rsid w:val="00832987"/>
    <w:rsid w:val="008330E6"/>
    <w:rsid w:val="008341DF"/>
    <w:rsid w:val="0083491E"/>
    <w:rsid w:val="008359A4"/>
    <w:rsid w:val="00852443"/>
    <w:rsid w:val="008529E8"/>
    <w:rsid w:val="00852E82"/>
    <w:rsid w:val="008531D7"/>
    <w:rsid w:val="008612C8"/>
    <w:rsid w:val="008614CE"/>
    <w:rsid w:val="00863B3B"/>
    <w:rsid w:val="00864FB4"/>
    <w:rsid w:val="00866CE9"/>
    <w:rsid w:val="0086782B"/>
    <w:rsid w:val="008719AB"/>
    <w:rsid w:val="00873FFE"/>
    <w:rsid w:val="00876629"/>
    <w:rsid w:val="00885DA8"/>
    <w:rsid w:val="00890FF4"/>
    <w:rsid w:val="00896722"/>
    <w:rsid w:val="008A0638"/>
    <w:rsid w:val="008A1469"/>
    <w:rsid w:val="008A73E3"/>
    <w:rsid w:val="008B09EA"/>
    <w:rsid w:val="008B451A"/>
    <w:rsid w:val="008B643C"/>
    <w:rsid w:val="008C187B"/>
    <w:rsid w:val="008D1AAD"/>
    <w:rsid w:val="008D75C0"/>
    <w:rsid w:val="008D7A1E"/>
    <w:rsid w:val="008D7D1F"/>
    <w:rsid w:val="008E1767"/>
    <w:rsid w:val="008E2204"/>
    <w:rsid w:val="008E3C30"/>
    <w:rsid w:val="008F085D"/>
    <w:rsid w:val="008F0A15"/>
    <w:rsid w:val="008F0DB1"/>
    <w:rsid w:val="008F6F9D"/>
    <w:rsid w:val="008F73CD"/>
    <w:rsid w:val="009002EE"/>
    <w:rsid w:val="00900987"/>
    <w:rsid w:val="00905F31"/>
    <w:rsid w:val="009150EF"/>
    <w:rsid w:val="00917025"/>
    <w:rsid w:val="00920505"/>
    <w:rsid w:val="00922F86"/>
    <w:rsid w:val="009238D7"/>
    <w:rsid w:val="00924A43"/>
    <w:rsid w:val="00925425"/>
    <w:rsid w:val="00925CCD"/>
    <w:rsid w:val="00933E70"/>
    <w:rsid w:val="0093736C"/>
    <w:rsid w:val="009429A6"/>
    <w:rsid w:val="00947B3D"/>
    <w:rsid w:val="009506FA"/>
    <w:rsid w:val="00951282"/>
    <w:rsid w:val="00952827"/>
    <w:rsid w:val="00953ECE"/>
    <w:rsid w:val="009620AF"/>
    <w:rsid w:val="0096414A"/>
    <w:rsid w:val="00964387"/>
    <w:rsid w:val="00970C1B"/>
    <w:rsid w:val="00972674"/>
    <w:rsid w:val="00980603"/>
    <w:rsid w:val="00981F5E"/>
    <w:rsid w:val="00995CD7"/>
    <w:rsid w:val="009A1753"/>
    <w:rsid w:val="009A472D"/>
    <w:rsid w:val="009A567E"/>
    <w:rsid w:val="009A7275"/>
    <w:rsid w:val="009B33E3"/>
    <w:rsid w:val="009C0483"/>
    <w:rsid w:val="009C60FE"/>
    <w:rsid w:val="009C795D"/>
    <w:rsid w:val="009D0EE8"/>
    <w:rsid w:val="009D476A"/>
    <w:rsid w:val="009F005D"/>
    <w:rsid w:val="009F0D9A"/>
    <w:rsid w:val="009F40F4"/>
    <w:rsid w:val="009F51A8"/>
    <w:rsid w:val="009F55E2"/>
    <w:rsid w:val="009F75AD"/>
    <w:rsid w:val="00A0039D"/>
    <w:rsid w:val="00A01CD9"/>
    <w:rsid w:val="00A04EC2"/>
    <w:rsid w:val="00A12364"/>
    <w:rsid w:val="00A14472"/>
    <w:rsid w:val="00A22BB9"/>
    <w:rsid w:val="00A25CF9"/>
    <w:rsid w:val="00A265EA"/>
    <w:rsid w:val="00A26CD3"/>
    <w:rsid w:val="00A30514"/>
    <w:rsid w:val="00A311DB"/>
    <w:rsid w:val="00A36797"/>
    <w:rsid w:val="00A36CD0"/>
    <w:rsid w:val="00A37B99"/>
    <w:rsid w:val="00A442E8"/>
    <w:rsid w:val="00A46F7E"/>
    <w:rsid w:val="00A55DBF"/>
    <w:rsid w:val="00A56BDD"/>
    <w:rsid w:val="00A575A2"/>
    <w:rsid w:val="00A60B14"/>
    <w:rsid w:val="00A613FB"/>
    <w:rsid w:val="00A73561"/>
    <w:rsid w:val="00A834F3"/>
    <w:rsid w:val="00A86813"/>
    <w:rsid w:val="00A92100"/>
    <w:rsid w:val="00A92897"/>
    <w:rsid w:val="00A94715"/>
    <w:rsid w:val="00AA2538"/>
    <w:rsid w:val="00AA6A95"/>
    <w:rsid w:val="00AB04AB"/>
    <w:rsid w:val="00AB4263"/>
    <w:rsid w:val="00AC0BBC"/>
    <w:rsid w:val="00AC7023"/>
    <w:rsid w:val="00AD1095"/>
    <w:rsid w:val="00AD1BAA"/>
    <w:rsid w:val="00AD3719"/>
    <w:rsid w:val="00AD3B6F"/>
    <w:rsid w:val="00AD5721"/>
    <w:rsid w:val="00AE02E5"/>
    <w:rsid w:val="00AE7EAD"/>
    <w:rsid w:val="00AF5D8C"/>
    <w:rsid w:val="00B07331"/>
    <w:rsid w:val="00B07F69"/>
    <w:rsid w:val="00B12076"/>
    <w:rsid w:val="00B13E9B"/>
    <w:rsid w:val="00B1585E"/>
    <w:rsid w:val="00B169BC"/>
    <w:rsid w:val="00B16BB1"/>
    <w:rsid w:val="00B20B04"/>
    <w:rsid w:val="00B20DD6"/>
    <w:rsid w:val="00B26EAA"/>
    <w:rsid w:val="00B30CDA"/>
    <w:rsid w:val="00B32893"/>
    <w:rsid w:val="00B32EFE"/>
    <w:rsid w:val="00B33234"/>
    <w:rsid w:val="00B34E93"/>
    <w:rsid w:val="00B37309"/>
    <w:rsid w:val="00B378AA"/>
    <w:rsid w:val="00B43E17"/>
    <w:rsid w:val="00B4603D"/>
    <w:rsid w:val="00B4686E"/>
    <w:rsid w:val="00B576C5"/>
    <w:rsid w:val="00B60C2F"/>
    <w:rsid w:val="00B64556"/>
    <w:rsid w:val="00B65C15"/>
    <w:rsid w:val="00B70D80"/>
    <w:rsid w:val="00B7544B"/>
    <w:rsid w:val="00B807D7"/>
    <w:rsid w:val="00B8684F"/>
    <w:rsid w:val="00B870D1"/>
    <w:rsid w:val="00B9104D"/>
    <w:rsid w:val="00B94FED"/>
    <w:rsid w:val="00B962C6"/>
    <w:rsid w:val="00B96B64"/>
    <w:rsid w:val="00BA65F8"/>
    <w:rsid w:val="00BB20E8"/>
    <w:rsid w:val="00BB42D9"/>
    <w:rsid w:val="00BB484C"/>
    <w:rsid w:val="00BB6760"/>
    <w:rsid w:val="00BD6CC6"/>
    <w:rsid w:val="00BF1855"/>
    <w:rsid w:val="00C02CBA"/>
    <w:rsid w:val="00C03784"/>
    <w:rsid w:val="00C052F9"/>
    <w:rsid w:val="00C07394"/>
    <w:rsid w:val="00C07747"/>
    <w:rsid w:val="00C122D5"/>
    <w:rsid w:val="00C133D4"/>
    <w:rsid w:val="00C13E2B"/>
    <w:rsid w:val="00C17B7F"/>
    <w:rsid w:val="00C201EB"/>
    <w:rsid w:val="00C309F1"/>
    <w:rsid w:val="00C31A0D"/>
    <w:rsid w:val="00C31BA3"/>
    <w:rsid w:val="00C33574"/>
    <w:rsid w:val="00C3457E"/>
    <w:rsid w:val="00C37134"/>
    <w:rsid w:val="00C4420A"/>
    <w:rsid w:val="00C45268"/>
    <w:rsid w:val="00C46564"/>
    <w:rsid w:val="00C46705"/>
    <w:rsid w:val="00C608BA"/>
    <w:rsid w:val="00C6797F"/>
    <w:rsid w:val="00C67F12"/>
    <w:rsid w:val="00C70625"/>
    <w:rsid w:val="00C713F9"/>
    <w:rsid w:val="00C72D6A"/>
    <w:rsid w:val="00C95FC1"/>
    <w:rsid w:val="00CA1EC5"/>
    <w:rsid w:val="00CA259D"/>
    <w:rsid w:val="00CA5A6E"/>
    <w:rsid w:val="00CA64D8"/>
    <w:rsid w:val="00CA6B28"/>
    <w:rsid w:val="00CB2368"/>
    <w:rsid w:val="00CB7BFE"/>
    <w:rsid w:val="00CC0567"/>
    <w:rsid w:val="00CC0E4A"/>
    <w:rsid w:val="00CC2146"/>
    <w:rsid w:val="00CC2B07"/>
    <w:rsid w:val="00CC4A42"/>
    <w:rsid w:val="00CD1841"/>
    <w:rsid w:val="00CE05DF"/>
    <w:rsid w:val="00CE39C1"/>
    <w:rsid w:val="00CE4682"/>
    <w:rsid w:val="00CF06F6"/>
    <w:rsid w:val="00CF422C"/>
    <w:rsid w:val="00D0027F"/>
    <w:rsid w:val="00D015FF"/>
    <w:rsid w:val="00D10469"/>
    <w:rsid w:val="00D15FA2"/>
    <w:rsid w:val="00D17B96"/>
    <w:rsid w:val="00D223A1"/>
    <w:rsid w:val="00D22899"/>
    <w:rsid w:val="00D249D1"/>
    <w:rsid w:val="00D50C72"/>
    <w:rsid w:val="00D54265"/>
    <w:rsid w:val="00D56864"/>
    <w:rsid w:val="00D600A8"/>
    <w:rsid w:val="00D613FA"/>
    <w:rsid w:val="00D633CE"/>
    <w:rsid w:val="00D704E6"/>
    <w:rsid w:val="00D71041"/>
    <w:rsid w:val="00D740EE"/>
    <w:rsid w:val="00D7675A"/>
    <w:rsid w:val="00D76831"/>
    <w:rsid w:val="00D845D0"/>
    <w:rsid w:val="00D9028B"/>
    <w:rsid w:val="00D91D90"/>
    <w:rsid w:val="00D921FB"/>
    <w:rsid w:val="00D95968"/>
    <w:rsid w:val="00D96D24"/>
    <w:rsid w:val="00DA00A2"/>
    <w:rsid w:val="00DA224C"/>
    <w:rsid w:val="00DA5D7E"/>
    <w:rsid w:val="00DA7F30"/>
    <w:rsid w:val="00DB249A"/>
    <w:rsid w:val="00DB4361"/>
    <w:rsid w:val="00DB598F"/>
    <w:rsid w:val="00DC30B5"/>
    <w:rsid w:val="00DC3319"/>
    <w:rsid w:val="00DC4A85"/>
    <w:rsid w:val="00DC4D22"/>
    <w:rsid w:val="00DC5176"/>
    <w:rsid w:val="00DD22F9"/>
    <w:rsid w:val="00DD46A4"/>
    <w:rsid w:val="00DD72A7"/>
    <w:rsid w:val="00DE3474"/>
    <w:rsid w:val="00DF2C3F"/>
    <w:rsid w:val="00DF2C7E"/>
    <w:rsid w:val="00DF5D60"/>
    <w:rsid w:val="00DF71A0"/>
    <w:rsid w:val="00E01255"/>
    <w:rsid w:val="00E0170C"/>
    <w:rsid w:val="00E03EAC"/>
    <w:rsid w:val="00E0497C"/>
    <w:rsid w:val="00E1097B"/>
    <w:rsid w:val="00E125A3"/>
    <w:rsid w:val="00E140DA"/>
    <w:rsid w:val="00E15D0F"/>
    <w:rsid w:val="00E16E59"/>
    <w:rsid w:val="00E204D7"/>
    <w:rsid w:val="00E2467E"/>
    <w:rsid w:val="00E27EC0"/>
    <w:rsid w:val="00E300D6"/>
    <w:rsid w:val="00E33F23"/>
    <w:rsid w:val="00E34B3E"/>
    <w:rsid w:val="00E4038A"/>
    <w:rsid w:val="00E40A31"/>
    <w:rsid w:val="00E45D19"/>
    <w:rsid w:val="00E52569"/>
    <w:rsid w:val="00E608B2"/>
    <w:rsid w:val="00E62EDD"/>
    <w:rsid w:val="00E63F31"/>
    <w:rsid w:val="00E66BE8"/>
    <w:rsid w:val="00E679CA"/>
    <w:rsid w:val="00E707D8"/>
    <w:rsid w:val="00E7206F"/>
    <w:rsid w:val="00E75265"/>
    <w:rsid w:val="00E84D8E"/>
    <w:rsid w:val="00E94779"/>
    <w:rsid w:val="00EA05EC"/>
    <w:rsid w:val="00EA37E3"/>
    <w:rsid w:val="00EA53F0"/>
    <w:rsid w:val="00EA78A1"/>
    <w:rsid w:val="00EB35C7"/>
    <w:rsid w:val="00EC2965"/>
    <w:rsid w:val="00EC3F20"/>
    <w:rsid w:val="00EC61A6"/>
    <w:rsid w:val="00ED0C93"/>
    <w:rsid w:val="00ED243A"/>
    <w:rsid w:val="00ED44FA"/>
    <w:rsid w:val="00EE424A"/>
    <w:rsid w:val="00EF4250"/>
    <w:rsid w:val="00F00DA2"/>
    <w:rsid w:val="00F01501"/>
    <w:rsid w:val="00F063F6"/>
    <w:rsid w:val="00F13522"/>
    <w:rsid w:val="00F154F0"/>
    <w:rsid w:val="00F162EE"/>
    <w:rsid w:val="00F175DD"/>
    <w:rsid w:val="00F22D46"/>
    <w:rsid w:val="00F2542F"/>
    <w:rsid w:val="00F35C9F"/>
    <w:rsid w:val="00F36800"/>
    <w:rsid w:val="00F42DDF"/>
    <w:rsid w:val="00F44AEE"/>
    <w:rsid w:val="00F44F0E"/>
    <w:rsid w:val="00F45728"/>
    <w:rsid w:val="00F5421E"/>
    <w:rsid w:val="00F6015D"/>
    <w:rsid w:val="00F64C64"/>
    <w:rsid w:val="00F66402"/>
    <w:rsid w:val="00F728CC"/>
    <w:rsid w:val="00F75DE3"/>
    <w:rsid w:val="00F80748"/>
    <w:rsid w:val="00F81541"/>
    <w:rsid w:val="00F84897"/>
    <w:rsid w:val="00F875E3"/>
    <w:rsid w:val="00F91F5F"/>
    <w:rsid w:val="00F91FFB"/>
    <w:rsid w:val="00F94B3D"/>
    <w:rsid w:val="00FA292F"/>
    <w:rsid w:val="00FA3A48"/>
    <w:rsid w:val="00FA6DCF"/>
    <w:rsid w:val="00FB0476"/>
    <w:rsid w:val="00FB6C4B"/>
    <w:rsid w:val="00FC2980"/>
    <w:rsid w:val="00FC4D09"/>
    <w:rsid w:val="00FD4A2D"/>
    <w:rsid w:val="00FD66EE"/>
    <w:rsid w:val="00FD67D3"/>
    <w:rsid w:val="00FD764A"/>
    <w:rsid w:val="00FE4F10"/>
    <w:rsid w:val="00FF2821"/>
    <w:rsid w:val="00FF3600"/>
    <w:rsid w:val="00FF4244"/>
    <w:rsid w:val="00FF74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26695-B77A-46F9-9675-A689E5BB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05C4"/>
    <w:pPr>
      <w:jc w:val="both"/>
    </w:pPr>
    <w:rPr>
      <w:sz w:val="24"/>
    </w:rPr>
  </w:style>
  <w:style w:type="paragraph" w:styleId="Titolo1">
    <w:name w:val="heading 1"/>
    <w:basedOn w:val="Normale"/>
    <w:next w:val="Normale"/>
    <w:link w:val="Titolo1Carattere"/>
    <w:uiPriority w:val="9"/>
    <w:qFormat/>
    <w:rsid w:val="006E16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E16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E1656"/>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6E1656"/>
    <w:rPr>
      <w:rFonts w:asciiTheme="majorHAnsi" w:eastAsiaTheme="majorEastAsia" w:hAnsiTheme="majorHAnsi" w:cstheme="majorBidi"/>
      <w:color w:val="2E74B5" w:themeColor="accent1" w:themeShade="BF"/>
      <w:sz w:val="26"/>
      <w:szCs w:val="26"/>
    </w:rPr>
  </w:style>
  <w:style w:type="table" w:styleId="Grigliatabella">
    <w:name w:val="Table Grid"/>
    <w:basedOn w:val="Tabellanormale"/>
    <w:uiPriority w:val="39"/>
    <w:rsid w:val="00663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F36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3671"/>
  </w:style>
  <w:style w:type="paragraph" w:styleId="Pidipagina">
    <w:name w:val="footer"/>
    <w:basedOn w:val="Normale"/>
    <w:link w:val="PidipaginaCarattere"/>
    <w:uiPriority w:val="99"/>
    <w:unhideWhenUsed/>
    <w:rsid w:val="001F36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3671"/>
  </w:style>
  <w:style w:type="paragraph" w:styleId="Nessunaspaziatura">
    <w:name w:val="No Spacing"/>
    <w:link w:val="NessunaspaziaturaCarattere"/>
    <w:uiPriority w:val="1"/>
    <w:qFormat/>
    <w:rsid w:val="008A1469"/>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8A1469"/>
    <w:rPr>
      <w:rFonts w:eastAsiaTheme="minorEastAsia"/>
      <w:lang w:eastAsia="it-IT"/>
    </w:rPr>
  </w:style>
  <w:style w:type="paragraph" w:styleId="Sommario3">
    <w:name w:val="toc 3"/>
    <w:basedOn w:val="Normale"/>
    <w:next w:val="Normale"/>
    <w:autoRedefine/>
    <w:uiPriority w:val="39"/>
    <w:unhideWhenUsed/>
    <w:rsid w:val="008A1469"/>
    <w:pPr>
      <w:tabs>
        <w:tab w:val="right" w:leader="dot" w:pos="9628"/>
      </w:tabs>
      <w:spacing w:after="80"/>
      <w:ind w:left="442"/>
    </w:pPr>
  </w:style>
  <w:style w:type="paragraph" w:styleId="Testofumetto">
    <w:name w:val="Balloon Text"/>
    <w:basedOn w:val="Normale"/>
    <w:link w:val="TestofumettoCarattere"/>
    <w:uiPriority w:val="99"/>
    <w:semiHidden/>
    <w:unhideWhenUsed/>
    <w:rsid w:val="001271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7120"/>
    <w:rPr>
      <w:rFonts w:ascii="Segoe UI" w:hAnsi="Segoe UI" w:cs="Segoe UI"/>
      <w:sz w:val="18"/>
      <w:szCs w:val="18"/>
    </w:rPr>
  </w:style>
  <w:style w:type="paragraph" w:styleId="NormaleWeb">
    <w:name w:val="Normal (Web)"/>
    <w:basedOn w:val="Normale"/>
    <w:uiPriority w:val="99"/>
    <w:unhideWhenUsed/>
    <w:rsid w:val="00A22BB9"/>
    <w:pPr>
      <w:spacing w:before="100" w:beforeAutospacing="1" w:after="100" w:afterAutospacing="1" w:line="240" w:lineRule="auto"/>
      <w:jc w:val="left"/>
    </w:pPr>
    <w:rPr>
      <w:rFonts w:ascii="Times New Roman" w:eastAsia="Times New Roman" w:hAnsi="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504">
      <w:bodyDiv w:val="1"/>
      <w:marLeft w:val="0"/>
      <w:marRight w:val="0"/>
      <w:marTop w:val="0"/>
      <w:marBottom w:val="0"/>
      <w:divBdr>
        <w:top w:val="none" w:sz="0" w:space="0" w:color="auto"/>
        <w:left w:val="none" w:sz="0" w:space="0" w:color="auto"/>
        <w:bottom w:val="none" w:sz="0" w:space="0" w:color="auto"/>
        <w:right w:val="none" w:sz="0" w:space="0" w:color="auto"/>
      </w:divBdr>
    </w:div>
    <w:div w:id="23095695">
      <w:bodyDiv w:val="1"/>
      <w:marLeft w:val="0"/>
      <w:marRight w:val="0"/>
      <w:marTop w:val="0"/>
      <w:marBottom w:val="0"/>
      <w:divBdr>
        <w:top w:val="none" w:sz="0" w:space="0" w:color="auto"/>
        <w:left w:val="none" w:sz="0" w:space="0" w:color="auto"/>
        <w:bottom w:val="none" w:sz="0" w:space="0" w:color="auto"/>
        <w:right w:val="none" w:sz="0" w:space="0" w:color="auto"/>
      </w:divBdr>
    </w:div>
    <w:div w:id="36322749">
      <w:bodyDiv w:val="1"/>
      <w:marLeft w:val="0"/>
      <w:marRight w:val="0"/>
      <w:marTop w:val="0"/>
      <w:marBottom w:val="0"/>
      <w:divBdr>
        <w:top w:val="none" w:sz="0" w:space="0" w:color="auto"/>
        <w:left w:val="none" w:sz="0" w:space="0" w:color="auto"/>
        <w:bottom w:val="none" w:sz="0" w:space="0" w:color="auto"/>
        <w:right w:val="none" w:sz="0" w:space="0" w:color="auto"/>
      </w:divBdr>
    </w:div>
    <w:div w:id="84888140">
      <w:bodyDiv w:val="1"/>
      <w:marLeft w:val="0"/>
      <w:marRight w:val="0"/>
      <w:marTop w:val="0"/>
      <w:marBottom w:val="0"/>
      <w:divBdr>
        <w:top w:val="none" w:sz="0" w:space="0" w:color="auto"/>
        <w:left w:val="none" w:sz="0" w:space="0" w:color="auto"/>
        <w:bottom w:val="none" w:sz="0" w:space="0" w:color="auto"/>
        <w:right w:val="none" w:sz="0" w:space="0" w:color="auto"/>
      </w:divBdr>
    </w:div>
    <w:div w:id="118229583">
      <w:bodyDiv w:val="1"/>
      <w:marLeft w:val="0"/>
      <w:marRight w:val="0"/>
      <w:marTop w:val="0"/>
      <w:marBottom w:val="0"/>
      <w:divBdr>
        <w:top w:val="none" w:sz="0" w:space="0" w:color="auto"/>
        <w:left w:val="none" w:sz="0" w:space="0" w:color="auto"/>
        <w:bottom w:val="none" w:sz="0" w:space="0" w:color="auto"/>
        <w:right w:val="none" w:sz="0" w:space="0" w:color="auto"/>
      </w:divBdr>
    </w:div>
    <w:div w:id="185367026">
      <w:bodyDiv w:val="1"/>
      <w:marLeft w:val="0"/>
      <w:marRight w:val="0"/>
      <w:marTop w:val="0"/>
      <w:marBottom w:val="0"/>
      <w:divBdr>
        <w:top w:val="none" w:sz="0" w:space="0" w:color="auto"/>
        <w:left w:val="none" w:sz="0" w:space="0" w:color="auto"/>
        <w:bottom w:val="none" w:sz="0" w:space="0" w:color="auto"/>
        <w:right w:val="none" w:sz="0" w:space="0" w:color="auto"/>
      </w:divBdr>
    </w:div>
    <w:div w:id="196553686">
      <w:bodyDiv w:val="1"/>
      <w:marLeft w:val="0"/>
      <w:marRight w:val="0"/>
      <w:marTop w:val="0"/>
      <w:marBottom w:val="0"/>
      <w:divBdr>
        <w:top w:val="none" w:sz="0" w:space="0" w:color="auto"/>
        <w:left w:val="none" w:sz="0" w:space="0" w:color="auto"/>
        <w:bottom w:val="none" w:sz="0" w:space="0" w:color="auto"/>
        <w:right w:val="none" w:sz="0" w:space="0" w:color="auto"/>
      </w:divBdr>
    </w:div>
    <w:div w:id="240719718">
      <w:bodyDiv w:val="1"/>
      <w:marLeft w:val="0"/>
      <w:marRight w:val="0"/>
      <w:marTop w:val="0"/>
      <w:marBottom w:val="0"/>
      <w:divBdr>
        <w:top w:val="none" w:sz="0" w:space="0" w:color="auto"/>
        <w:left w:val="none" w:sz="0" w:space="0" w:color="auto"/>
        <w:bottom w:val="none" w:sz="0" w:space="0" w:color="auto"/>
        <w:right w:val="none" w:sz="0" w:space="0" w:color="auto"/>
      </w:divBdr>
    </w:div>
    <w:div w:id="246621829">
      <w:bodyDiv w:val="1"/>
      <w:marLeft w:val="0"/>
      <w:marRight w:val="0"/>
      <w:marTop w:val="0"/>
      <w:marBottom w:val="0"/>
      <w:divBdr>
        <w:top w:val="none" w:sz="0" w:space="0" w:color="auto"/>
        <w:left w:val="none" w:sz="0" w:space="0" w:color="auto"/>
        <w:bottom w:val="none" w:sz="0" w:space="0" w:color="auto"/>
        <w:right w:val="none" w:sz="0" w:space="0" w:color="auto"/>
      </w:divBdr>
    </w:div>
    <w:div w:id="263733479">
      <w:bodyDiv w:val="1"/>
      <w:marLeft w:val="0"/>
      <w:marRight w:val="0"/>
      <w:marTop w:val="0"/>
      <w:marBottom w:val="0"/>
      <w:divBdr>
        <w:top w:val="none" w:sz="0" w:space="0" w:color="auto"/>
        <w:left w:val="none" w:sz="0" w:space="0" w:color="auto"/>
        <w:bottom w:val="none" w:sz="0" w:space="0" w:color="auto"/>
        <w:right w:val="none" w:sz="0" w:space="0" w:color="auto"/>
      </w:divBdr>
    </w:div>
    <w:div w:id="329211128">
      <w:bodyDiv w:val="1"/>
      <w:marLeft w:val="0"/>
      <w:marRight w:val="0"/>
      <w:marTop w:val="0"/>
      <w:marBottom w:val="0"/>
      <w:divBdr>
        <w:top w:val="none" w:sz="0" w:space="0" w:color="auto"/>
        <w:left w:val="none" w:sz="0" w:space="0" w:color="auto"/>
        <w:bottom w:val="none" w:sz="0" w:space="0" w:color="auto"/>
        <w:right w:val="none" w:sz="0" w:space="0" w:color="auto"/>
      </w:divBdr>
    </w:div>
    <w:div w:id="375199862">
      <w:bodyDiv w:val="1"/>
      <w:marLeft w:val="0"/>
      <w:marRight w:val="0"/>
      <w:marTop w:val="0"/>
      <w:marBottom w:val="0"/>
      <w:divBdr>
        <w:top w:val="none" w:sz="0" w:space="0" w:color="auto"/>
        <w:left w:val="none" w:sz="0" w:space="0" w:color="auto"/>
        <w:bottom w:val="none" w:sz="0" w:space="0" w:color="auto"/>
        <w:right w:val="none" w:sz="0" w:space="0" w:color="auto"/>
      </w:divBdr>
    </w:div>
    <w:div w:id="385688844">
      <w:bodyDiv w:val="1"/>
      <w:marLeft w:val="0"/>
      <w:marRight w:val="0"/>
      <w:marTop w:val="0"/>
      <w:marBottom w:val="0"/>
      <w:divBdr>
        <w:top w:val="none" w:sz="0" w:space="0" w:color="auto"/>
        <w:left w:val="none" w:sz="0" w:space="0" w:color="auto"/>
        <w:bottom w:val="none" w:sz="0" w:space="0" w:color="auto"/>
        <w:right w:val="none" w:sz="0" w:space="0" w:color="auto"/>
      </w:divBdr>
    </w:div>
    <w:div w:id="418603514">
      <w:bodyDiv w:val="1"/>
      <w:marLeft w:val="0"/>
      <w:marRight w:val="0"/>
      <w:marTop w:val="0"/>
      <w:marBottom w:val="0"/>
      <w:divBdr>
        <w:top w:val="none" w:sz="0" w:space="0" w:color="auto"/>
        <w:left w:val="none" w:sz="0" w:space="0" w:color="auto"/>
        <w:bottom w:val="none" w:sz="0" w:space="0" w:color="auto"/>
        <w:right w:val="none" w:sz="0" w:space="0" w:color="auto"/>
      </w:divBdr>
    </w:div>
    <w:div w:id="427122672">
      <w:bodyDiv w:val="1"/>
      <w:marLeft w:val="0"/>
      <w:marRight w:val="0"/>
      <w:marTop w:val="0"/>
      <w:marBottom w:val="0"/>
      <w:divBdr>
        <w:top w:val="none" w:sz="0" w:space="0" w:color="auto"/>
        <w:left w:val="none" w:sz="0" w:space="0" w:color="auto"/>
        <w:bottom w:val="none" w:sz="0" w:space="0" w:color="auto"/>
        <w:right w:val="none" w:sz="0" w:space="0" w:color="auto"/>
      </w:divBdr>
    </w:div>
    <w:div w:id="428703484">
      <w:bodyDiv w:val="1"/>
      <w:marLeft w:val="0"/>
      <w:marRight w:val="0"/>
      <w:marTop w:val="0"/>
      <w:marBottom w:val="0"/>
      <w:divBdr>
        <w:top w:val="none" w:sz="0" w:space="0" w:color="auto"/>
        <w:left w:val="none" w:sz="0" w:space="0" w:color="auto"/>
        <w:bottom w:val="none" w:sz="0" w:space="0" w:color="auto"/>
        <w:right w:val="none" w:sz="0" w:space="0" w:color="auto"/>
      </w:divBdr>
    </w:div>
    <w:div w:id="461772189">
      <w:bodyDiv w:val="1"/>
      <w:marLeft w:val="0"/>
      <w:marRight w:val="0"/>
      <w:marTop w:val="0"/>
      <w:marBottom w:val="0"/>
      <w:divBdr>
        <w:top w:val="none" w:sz="0" w:space="0" w:color="auto"/>
        <w:left w:val="none" w:sz="0" w:space="0" w:color="auto"/>
        <w:bottom w:val="none" w:sz="0" w:space="0" w:color="auto"/>
        <w:right w:val="none" w:sz="0" w:space="0" w:color="auto"/>
      </w:divBdr>
    </w:div>
    <w:div w:id="499974170">
      <w:bodyDiv w:val="1"/>
      <w:marLeft w:val="0"/>
      <w:marRight w:val="0"/>
      <w:marTop w:val="0"/>
      <w:marBottom w:val="0"/>
      <w:divBdr>
        <w:top w:val="none" w:sz="0" w:space="0" w:color="auto"/>
        <w:left w:val="none" w:sz="0" w:space="0" w:color="auto"/>
        <w:bottom w:val="none" w:sz="0" w:space="0" w:color="auto"/>
        <w:right w:val="none" w:sz="0" w:space="0" w:color="auto"/>
      </w:divBdr>
    </w:div>
    <w:div w:id="569387710">
      <w:bodyDiv w:val="1"/>
      <w:marLeft w:val="0"/>
      <w:marRight w:val="0"/>
      <w:marTop w:val="0"/>
      <w:marBottom w:val="0"/>
      <w:divBdr>
        <w:top w:val="none" w:sz="0" w:space="0" w:color="auto"/>
        <w:left w:val="none" w:sz="0" w:space="0" w:color="auto"/>
        <w:bottom w:val="none" w:sz="0" w:space="0" w:color="auto"/>
        <w:right w:val="none" w:sz="0" w:space="0" w:color="auto"/>
      </w:divBdr>
    </w:div>
    <w:div w:id="626084250">
      <w:bodyDiv w:val="1"/>
      <w:marLeft w:val="0"/>
      <w:marRight w:val="0"/>
      <w:marTop w:val="0"/>
      <w:marBottom w:val="0"/>
      <w:divBdr>
        <w:top w:val="none" w:sz="0" w:space="0" w:color="auto"/>
        <w:left w:val="none" w:sz="0" w:space="0" w:color="auto"/>
        <w:bottom w:val="none" w:sz="0" w:space="0" w:color="auto"/>
        <w:right w:val="none" w:sz="0" w:space="0" w:color="auto"/>
      </w:divBdr>
    </w:div>
    <w:div w:id="630282251">
      <w:bodyDiv w:val="1"/>
      <w:marLeft w:val="0"/>
      <w:marRight w:val="0"/>
      <w:marTop w:val="0"/>
      <w:marBottom w:val="0"/>
      <w:divBdr>
        <w:top w:val="none" w:sz="0" w:space="0" w:color="auto"/>
        <w:left w:val="none" w:sz="0" w:space="0" w:color="auto"/>
        <w:bottom w:val="none" w:sz="0" w:space="0" w:color="auto"/>
        <w:right w:val="none" w:sz="0" w:space="0" w:color="auto"/>
      </w:divBdr>
    </w:div>
    <w:div w:id="640041796">
      <w:bodyDiv w:val="1"/>
      <w:marLeft w:val="0"/>
      <w:marRight w:val="0"/>
      <w:marTop w:val="0"/>
      <w:marBottom w:val="0"/>
      <w:divBdr>
        <w:top w:val="none" w:sz="0" w:space="0" w:color="auto"/>
        <w:left w:val="none" w:sz="0" w:space="0" w:color="auto"/>
        <w:bottom w:val="none" w:sz="0" w:space="0" w:color="auto"/>
        <w:right w:val="none" w:sz="0" w:space="0" w:color="auto"/>
      </w:divBdr>
    </w:div>
    <w:div w:id="742988632">
      <w:bodyDiv w:val="1"/>
      <w:marLeft w:val="0"/>
      <w:marRight w:val="0"/>
      <w:marTop w:val="0"/>
      <w:marBottom w:val="0"/>
      <w:divBdr>
        <w:top w:val="none" w:sz="0" w:space="0" w:color="auto"/>
        <w:left w:val="none" w:sz="0" w:space="0" w:color="auto"/>
        <w:bottom w:val="none" w:sz="0" w:space="0" w:color="auto"/>
        <w:right w:val="none" w:sz="0" w:space="0" w:color="auto"/>
      </w:divBdr>
    </w:div>
    <w:div w:id="802381854">
      <w:bodyDiv w:val="1"/>
      <w:marLeft w:val="0"/>
      <w:marRight w:val="0"/>
      <w:marTop w:val="0"/>
      <w:marBottom w:val="0"/>
      <w:divBdr>
        <w:top w:val="none" w:sz="0" w:space="0" w:color="auto"/>
        <w:left w:val="none" w:sz="0" w:space="0" w:color="auto"/>
        <w:bottom w:val="none" w:sz="0" w:space="0" w:color="auto"/>
        <w:right w:val="none" w:sz="0" w:space="0" w:color="auto"/>
      </w:divBdr>
    </w:div>
    <w:div w:id="817186052">
      <w:bodyDiv w:val="1"/>
      <w:marLeft w:val="0"/>
      <w:marRight w:val="0"/>
      <w:marTop w:val="0"/>
      <w:marBottom w:val="0"/>
      <w:divBdr>
        <w:top w:val="none" w:sz="0" w:space="0" w:color="auto"/>
        <w:left w:val="none" w:sz="0" w:space="0" w:color="auto"/>
        <w:bottom w:val="none" w:sz="0" w:space="0" w:color="auto"/>
        <w:right w:val="none" w:sz="0" w:space="0" w:color="auto"/>
      </w:divBdr>
    </w:div>
    <w:div w:id="839732923">
      <w:bodyDiv w:val="1"/>
      <w:marLeft w:val="0"/>
      <w:marRight w:val="0"/>
      <w:marTop w:val="0"/>
      <w:marBottom w:val="0"/>
      <w:divBdr>
        <w:top w:val="none" w:sz="0" w:space="0" w:color="auto"/>
        <w:left w:val="none" w:sz="0" w:space="0" w:color="auto"/>
        <w:bottom w:val="none" w:sz="0" w:space="0" w:color="auto"/>
        <w:right w:val="none" w:sz="0" w:space="0" w:color="auto"/>
      </w:divBdr>
    </w:div>
    <w:div w:id="842549644">
      <w:bodyDiv w:val="1"/>
      <w:marLeft w:val="0"/>
      <w:marRight w:val="0"/>
      <w:marTop w:val="0"/>
      <w:marBottom w:val="0"/>
      <w:divBdr>
        <w:top w:val="none" w:sz="0" w:space="0" w:color="auto"/>
        <w:left w:val="none" w:sz="0" w:space="0" w:color="auto"/>
        <w:bottom w:val="none" w:sz="0" w:space="0" w:color="auto"/>
        <w:right w:val="none" w:sz="0" w:space="0" w:color="auto"/>
      </w:divBdr>
    </w:div>
    <w:div w:id="936602394">
      <w:bodyDiv w:val="1"/>
      <w:marLeft w:val="0"/>
      <w:marRight w:val="0"/>
      <w:marTop w:val="0"/>
      <w:marBottom w:val="0"/>
      <w:divBdr>
        <w:top w:val="none" w:sz="0" w:space="0" w:color="auto"/>
        <w:left w:val="none" w:sz="0" w:space="0" w:color="auto"/>
        <w:bottom w:val="none" w:sz="0" w:space="0" w:color="auto"/>
        <w:right w:val="none" w:sz="0" w:space="0" w:color="auto"/>
      </w:divBdr>
    </w:div>
    <w:div w:id="973679603">
      <w:bodyDiv w:val="1"/>
      <w:marLeft w:val="0"/>
      <w:marRight w:val="0"/>
      <w:marTop w:val="0"/>
      <w:marBottom w:val="0"/>
      <w:divBdr>
        <w:top w:val="none" w:sz="0" w:space="0" w:color="auto"/>
        <w:left w:val="none" w:sz="0" w:space="0" w:color="auto"/>
        <w:bottom w:val="none" w:sz="0" w:space="0" w:color="auto"/>
        <w:right w:val="none" w:sz="0" w:space="0" w:color="auto"/>
      </w:divBdr>
    </w:div>
    <w:div w:id="1002586485">
      <w:bodyDiv w:val="1"/>
      <w:marLeft w:val="0"/>
      <w:marRight w:val="0"/>
      <w:marTop w:val="0"/>
      <w:marBottom w:val="0"/>
      <w:divBdr>
        <w:top w:val="none" w:sz="0" w:space="0" w:color="auto"/>
        <w:left w:val="none" w:sz="0" w:space="0" w:color="auto"/>
        <w:bottom w:val="none" w:sz="0" w:space="0" w:color="auto"/>
        <w:right w:val="none" w:sz="0" w:space="0" w:color="auto"/>
      </w:divBdr>
    </w:div>
    <w:div w:id="1018458949">
      <w:bodyDiv w:val="1"/>
      <w:marLeft w:val="0"/>
      <w:marRight w:val="0"/>
      <w:marTop w:val="0"/>
      <w:marBottom w:val="0"/>
      <w:divBdr>
        <w:top w:val="none" w:sz="0" w:space="0" w:color="auto"/>
        <w:left w:val="none" w:sz="0" w:space="0" w:color="auto"/>
        <w:bottom w:val="none" w:sz="0" w:space="0" w:color="auto"/>
        <w:right w:val="none" w:sz="0" w:space="0" w:color="auto"/>
      </w:divBdr>
    </w:div>
    <w:div w:id="1040714439">
      <w:bodyDiv w:val="1"/>
      <w:marLeft w:val="0"/>
      <w:marRight w:val="0"/>
      <w:marTop w:val="0"/>
      <w:marBottom w:val="0"/>
      <w:divBdr>
        <w:top w:val="none" w:sz="0" w:space="0" w:color="auto"/>
        <w:left w:val="none" w:sz="0" w:space="0" w:color="auto"/>
        <w:bottom w:val="none" w:sz="0" w:space="0" w:color="auto"/>
        <w:right w:val="none" w:sz="0" w:space="0" w:color="auto"/>
      </w:divBdr>
    </w:div>
    <w:div w:id="1047921349">
      <w:bodyDiv w:val="1"/>
      <w:marLeft w:val="0"/>
      <w:marRight w:val="0"/>
      <w:marTop w:val="0"/>
      <w:marBottom w:val="0"/>
      <w:divBdr>
        <w:top w:val="none" w:sz="0" w:space="0" w:color="auto"/>
        <w:left w:val="none" w:sz="0" w:space="0" w:color="auto"/>
        <w:bottom w:val="none" w:sz="0" w:space="0" w:color="auto"/>
        <w:right w:val="none" w:sz="0" w:space="0" w:color="auto"/>
      </w:divBdr>
    </w:div>
    <w:div w:id="1129786505">
      <w:bodyDiv w:val="1"/>
      <w:marLeft w:val="0"/>
      <w:marRight w:val="0"/>
      <w:marTop w:val="0"/>
      <w:marBottom w:val="0"/>
      <w:divBdr>
        <w:top w:val="none" w:sz="0" w:space="0" w:color="auto"/>
        <w:left w:val="none" w:sz="0" w:space="0" w:color="auto"/>
        <w:bottom w:val="none" w:sz="0" w:space="0" w:color="auto"/>
        <w:right w:val="none" w:sz="0" w:space="0" w:color="auto"/>
      </w:divBdr>
    </w:div>
    <w:div w:id="1134517999">
      <w:bodyDiv w:val="1"/>
      <w:marLeft w:val="0"/>
      <w:marRight w:val="0"/>
      <w:marTop w:val="0"/>
      <w:marBottom w:val="0"/>
      <w:divBdr>
        <w:top w:val="none" w:sz="0" w:space="0" w:color="auto"/>
        <w:left w:val="none" w:sz="0" w:space="0" w:color="auto"/>
        <w:bottom w:val="none" w:sz="0" w:space="0" w:color="auto"/>
        <w:right w:val="none" w:sz="0" w:space="0" w:color="auto"/>
      </w:divBdr>
    </w:div>
    <w:div w:id="1148016289">
      <w:bodyDiv w:val="1"/>
      <w:marLeft w:val="0"/>
      <w:marRight w:val="0"/>
      <w:marTop w:val="0"/>
      <w:marBottom w:val="0"/>
      <w:divBdr>
        <w:top w:val="none" w:sz="0" w:space="0" w:color="auto"/>
        <w:left w:val="none" w:sz="0" w:space="0" w:color="auto"/>
        <w:bottom w:val="none" w:sz="0" w:space="0" w:color="auto"/>
        <w:right w:val="none" w:sz="0" w:space="0" w:color="auto"/>
      </w:divBdr>
    </w:div>
    <w:div w:id="1193299984">
      <w:bodyDiv w:val="1"/>
      <w:marLeft w:val="0"/>
      <w:marRight w:val="0"/>
      <w:marTop w:val="0"/>
      <w:marBottom w:val="0"/>
      <w:divBdr>
        <w:top w:val="none" w:sz="0" w:space="0" w:color="auto"/>
        <w:left w:val="none" w:sz="0" w:space="0" w:color="auto"/>
        <w:bottom w:val="none" w:sz="0" w:space="0" w:color="auto"/>
        <w:right w:val="none" w:sz="0" w:space="0" w:color="auto"/>
      </w:divBdr>
    </w:div>
    <w:div w:id="1229264085">
      <w:bodyDiv w:val="1"/>
      <w:marLeft w:val="0"/>
      <w:marRight w:val="0"/>
      <w:marTop w:val="0"/>
      <w:marBottom w:val="0"/>
      <w:divBdr>
        <w:top w:val="none" w:sz="0" w:space="0" w:color="auto"/>
        <w:left w:val="none" w:sz="0" w:space="0" w:color="auto"/>
        <w:bottom w:val="none" w:sz="0" w:space="0" w:color="auto"/>
        <w:right w:val="none" w:sz="0" w:space="0" w:color="auto"/>
      </w:divBdr>
    </w:div>
    <w:div w:id="1258639065">
      <w:bodyDiv w:val="1"/>
      <w:marLeft w:val="0"/>
      <w:marRight w:val="0"/>
      <w:marTop w:val="0"/>
      <w:marBottom w:val="0"/>
      <w:divBdr>
        <w:top w:val="none" w:sz="0" w:space="0" w:color="auto"/>
        <w:left w:val="none" w:sz="0" w:space="0" w:color="auto"/>
        <w:bottom w:val="none" w:sz="0" w:space="0" w:color="auto"/>
        <w:right w:val="none" w:sz="0" w:space="0" w:color="auto"/>
      </w:divBdr>
    </w:div>
    <w:div w:id="1332836692">
      <w:bodyDiv w:val="1"/>
      <w:marLeft w:val="0"/>
      <w:marRight w:val="0"/>
      <w:marTop w:val="0"/>
      <w:marBottom w:val="0"/>
      <w:divBdr>
        <w:top w:val="none" w:sz="0" w:space="0" w:color="auto"/>
        <w:left w:val="none" w:sz="0" w:space="0" w:color="auto"/>
        <w:bottom w:val="none" w:sz="0" w:space="0" w:color="auto"/>
        <w:right w:val="none" w:sz="0" w:space="0" w:color="auto"/>
      </w:divBdr>
    </w:div>
    <w:div w:id="1395273317">
      <w:bodyDiv w:val="1"/>
      <w:marLeft w:val="0"/>
      <w:marRight w:val="0"/>
      <w:marTop w:val="0"/>
      <w:marBottom w:val="0"/>
      <w:divBdr>
        <w:top w:val="none" w:sz="0" w:space="0" w:color="auto"/>
        <w:left w:val="none" w:sz="0" w:space="0" w:color="auto"/>
        <w:bottom w:val="none" w:sz="0" w:space="0" w:color="auto"/>
        <w:right w:val="none" w:sz="0" w:space="0" w:color="auto"/>
      </w:divBdr>
    </w:div>
    <w:div w:id="1395858821">
      <w:bodyDiv w:val="1"/>
      <w:marLeft w:val="0"/>
      <w:marRight w:val="0"/>
      <w:marTop w:val="0"/>
      <w:marBottom w:val="0"/>
      <w:divBdr>
        <w:top w:val="none" w:sz="0" w:space="0" w:color="auto"/>
        <w:left w:val="none" w:sz="0" w:space="0" w:color="auto"/>
        <w:bottom w:val="none" w:sz="0" w:space="0" w:color="auto"/>
        <w:right w:val="none" w:sz="0" w:space="0" w:color="auto"/>
      </w:divBdr>
    </w:div>
    <w:div w:id="1396925835">
      <w:bodyDiv w:val="1"/>
      <w:marLeft w:val="0"/>
      <w:marRight w:val="0"/>
      <w:marTop w:val="0"/>
      <w:marBottom w:val="0"/>
      <w:divBdr>
        <w:top w:val="none" w:sz="0" w:space="0" w:color="auto"/>
        <w:left w:val="none" w:sz="0" w:space="0" w:color="auto"/>
        <w:bottom w:val="none" w:sz="0" w:space="0" w:color="auto"/>
        <w:right w:val="none" w:sz="0" w:space="0" w:color="auto"/>
      </w:divBdr>
    </w:div>
    <w:div w:id="1398942890">
      <w:bodyDiv w:val="1"/>
      <w:marLeft w:val="0"/>
      <w:marRight w:val="0"/>
      <w:marTop w:val="0"/>
      <w:marBottom w:val="0"/>
      <w:divBdr>
        <w:top w:val="none" w:sz="0" w:space="0" w:color="auto"/>
        <w:left w:val="none" w:sz="0" w:space="0" w:color="auto"/>
        <w:bottom w:val="none" w:sz="0" w:space="0" w:color="auto"/>
        <w:right w:val="none" w:sz="0" w:space="0" w:color="auto"/>
      </w:divBdr>
    </w:div>
    <w:div w:id="1402829513">
      <w:bodyDiv w:val="1"/>
      <w:marLeft w:val="0"/>
      <w:marRight w:val="0"/>
      <w:marTop w:val="0"/>
      <w:marBottom w:val="0"/>
      <w:divBdr>
        <w:top w:val="none" w:sz="0" w:space="0" w:color="auto"/>
        <w:left w:val="none" w:sz="0" w:space="0" w:color="auto"/>
        <w:bottom w:val="none" w:sz="0" w:space="0" w:color="auto"/>
        <w:right w:val="none" w:sz="0" w:space="0" w:color="auto"/>
      </w:divBdr>
    </w:div>
    <w:div w:id="1409882383">
      <w:bodyDiv w:val="1"/>
      <w:marLeft w:val="0"/>
      <w:marRight w:val="0"/>
      <w:marTop w:val="0"/>
      <w:marBottom w:val="0"/>
      <w:divBdr>
        <w:top w:val="none" w:sz="0" w:space="0" w:color="auto"/>
        <w:left w:val="none" w:sz="0" w:space="0" w:color="auto"/>
        <w:bottom w:val="none" w:sz="0" w:space="0" w:color="auto"/>
        <w:right w:val="none" w:sz="0" w:space="0" w:color="auto"/>
      </w:divBdr>
    </w:div>
    <w:div w:id="1470126366">
      <w:bodyDiv w:val="1"/>
      <w:marLeft w:val="0"/>
      <w:marRight w:val="0"/>
      <w:marTop w:val="0"/>
      <w:marBottom w:val="0"/>
      <w:divBdr>
        <w:top w:val="none" w:sz="0" w:space="0" w:color="auto"/>
        <w:left w:val="none" w:sz="0" w:space="0" w:color="auto"/>
        <w:bottom w:val="none" w:sz="0" w:space="0" w:color="auto"/>
        <w:right w:val="none" w:sz="0" w:space="0" w:color="auto"/>
      </w:divBdr>
    </w:div>
    <w:div w:id="1497259126">
      <w:bodyDiv w:val="1"/>
      <w:marLeft w:val="0"/>
      <w:marRight w:val="0"/>
      <w:marTop w:val="0"/>
      <w:marBottom w:val="0"/>
      <w:divBdr>
        <w:top w:val="none" w:sz="0" w:space="0" w:color="auto"/>
        <w:left w:val="none" w:sz="0" w:space="0" w:color="auto"/>
        <w:bottom w:val="none" w:sz="0" w:space="0" w:color="auto"/>
        <w:right w:val="none" w:sz="0" w:space="0" w:color="auto"/>
      </w:divBdr>
    </w:div>
    <w:div w:id="1505780156">
      <w:bodyDiv w:val="1"/>
      <w:marLeft w:val="0"/>
      <w:marRight w:val="0"/>
      <w:marTop w:val="0"/>
      <w:marBottom w:val="0"/>
      <w:divBdr>
        <w:top w:val="none" w:sz="0" w:space="0" w:color="auto"/>
        <w:left w:val="none" w:sz="0" w:space="0" w:color="auto"/>
        <w:bottom w:val="none" w:sz="0" w:space="0" w:color="auto"/>
        <w:right w:val="none" w:sz="0" w:space="0" w:color="auto"/>
      </w:divBdr>
    </w:div>
    <w:div w:id="1518344220">
      <w:bodyDiv w:val="1"/>
      <w:marLeft w:val="0"/>
      <w:marRight w:val="0"/>
      <w:marTop w:val="0"/>
      <w:marBottom w:val="0"/>
      <w:divBdr>
        <w:top w:val="none" w:sz="0" w:space="0" w:color="auto"/>
        <w:left w:val="none" w:sz="0" w:space="0" w:color="auto"/>
        <w:bottom w:val="none" w:sz="0" w:space="0" w:color="auto"/>
        <w:right w:val="none" w:sz="0" w:space="0" w:color="auto"/>
      </w:divBdr>
    </w:div>
    <w:div w:id="1635713537">
      <w:bodyDiv w:val="1"/>
      <w:marLeft w:val="0"/>
      <w:marRight w:val="0"/>
      <w:marTop w:val="0"/>
      <w:marBottom w:val="0"/>
      <w:divBdr>
        <w:top w:val="none" w:sz="0" w:space="0" w:color="auto"/>
        <w:left w:val="none" w:sz="0" w:space="0" w:color="auto"/>
        <w:bottom w:val="none" w:sz="0" w:space="0" w:color="auto"/>
        <w:right w:val="none" w:sz="0" w:space="0" w:color="auto"/>
      </w:divBdr>
    </w:div>
    <w:div w:id="1637445727">
      <w:bodyDiv w:val="1"/>
      <w:marLeft w:val="0"/>
      <w:marRight w:val="0"/>
      <w:marTop w:val="0"/>
      <w:marBottom w:val="0"/>
      <w:divBdr>
        <w:top w:val="none" w:sz="0" w:space="0" w:color="auto"/>
        <w:left w:val="none" w:sz="0" w:space="0" w:color="auto"/>
        <w:bottom w:val="none" w:sz="0" w:space="0" w:color="auto"/>
        <w:right w:val="none" w:sz="0" w:space="0" w:color="auto"/>
      </w:divBdr>
    </w:div>
    <w:div w:id="1647082914">
      <w:bodyDiv w:val="1"/>
      <w:marLeft w:val="0"/>
      <w:marRight w:val="0"/>
      <w:marTop w:val="0"/>
      <w:marBottom w:val="0"/>
      <w:divBdr>
        <w:top w:val="none" w:sz="0" w:space="0" w:color="auto"/>
        <w:left w:val="none" w:sz="0" w:space="0" w:color="auto"/>
        <w:bottom w:val="none" w:sz="0" w:space="0" w:color="auto"/>
        <w:right w:val="none" w:sz="0" w:space="0" w:color="auto"/>
      </w:divBdr>
    </w:div>
    <w:div w:id="1661736419">
      <w:bodyDiv w:val="1"/>
      <w:marLeft w:val="0"/>
      <w:marRight w:val="0"/>
      <w:marTop w:val="0"/>
      <w:marBottom w:val="0"/>
      <w:divBdr>
        <w:top w:val="none" w:sz="0" w:space="0" w:color="auto"/>
        <w:left w:val="none" w:sz="0" w:space="0" w:color="auto"/>
        <w:bottom w:val="none" w:sz="0" w:space="0" w:color="auto"/>
        <w:right w:val="none" w:sz="0" w:space="0" w:color="auto"/>
      </w:divBdr>
    </w:div>
    <w:div w:id="1667132218">
      <w:bodyDiv w:val="1"/>
      <w:marLeft w:val="0"/>
      <w:marRight w:val="0"/>
      <w:marTop w:val="0"/>
      <w:marBottom w:val="0"/>
      <w:divBdr>
        <w:top w:val="none" w:sz="0" w:space="0" w:color="auto"/>
        <w:left w:val="none" w:sz="0" w:space="0" w:color="auto"/>
        <w:bottom w:val="none" w:sz="0" w:space="0" w:color="auto"/>
        <w:right w:val="none" w:sz="0" w:space="0" w:color="auto"/>
      </w:divBdr>
    </w:div>
    <w:div w:id="1668053298">
      <w:bodyDiv w:val="1"/>
      <w:marLeft w:val="0"/>
      <w:marRight w:val="0"/>
      <w:marTop w:val="0"/>
      <w:marBottom w:val="0"/>
      <w:divBdr>
        <w:top w:val="none" w:sz="0" w:space="0" w:color="auto"/>
        <w:left w:val="none" w:sz="0" w:space="0" w:color="auto"/>
        <w:bottom w:val="none" w:sz="0" w:space="0" w:color="auto"/>
        <w:right w:val="none" w:sz="0" w:space="0" w:color="auto"/>
      </w:divBdr>
    </w:div>
    <w:div w:id="1711802929">
      <w:bodyDiv w:val="1"/>
      <w:marLeft w:val="0"/>
      <w:marRight w:val="0"/>
      <w:marTop w:val="0"/>
      <w:marBottom w:val="0"/>
      <w:divBdr>
        <w:top w:val="none" w:sz="0" w:space="0" w:color="auto"/>
        <w:left w:val="none" w:sz="0" w:space="0" w:color="auto"/>
        <w:bottom w:val="none" w:sz="0" w:space="0" w:color="auto"/>
        <w:right w:val="none" w:sz="0" w:space="0" w:color="auto"/>
      </w:divBdr>
    </w:div>
    <w:div w:id="1738361808">
      <w:bodyDiv w:val="1"/>
      <w:marLeft w:val="0"/>
      <w:marRight w:val="0"/>
      <w:marTop w:val="0"/>
      <w:marBottom w:val="0"/>
      <w:divBdr>
        <w:top w:val="none" w:sz="0" w:space="0" w:color="auto"/>
        <w:left w:val="none" w:sz="0" w:space="0" w:color="auto"/>
        <w:bottom w:val="none" w:sz="0" w:space="0" w:color="auto"/>
        <w:right w:val="none" w:sz="0" w:space="0" w:color="auto"/>
      </w:divBdr>
    </w:div>
    <w:div w:id="1768576307">
      <w:bodyDiv w:val="1"/>
      <w:marLeft w:val="0"/>
      <w:marRight w:val="0"/>
      <w:marTop w:val="0"/>
      <w:marBottom w:val="0"/>
      <w:divBdr>
        <w:top w:val="none" w:sz="0" w:space="0" w:color="auto"/>
        <w:left w:val="none" w:sz="0" w:space="0" w:color="auto"/>
        <w:bottom w:val="none" w:sz="0" w:space="0" w:color="auto"/>
        <w:right w:val="none" w:sz="0" w:space="0" w:color="auto"/>
      </w:divBdr>
    </w:div>
    <w:div w:id="1782609596">
      <w:bodyDiv w:val="1"/>
      <w:marLeft w:val="0"/>
      <w:marRight w:val="0"/>
      <w:marTop w:val="0"/>
      <w:marBottom w:val="0"/>
      <w:divBdr>
        <w:top w:val="none" w:sz="0" w:space="0" w:color="auto"/>
        <w:left w:val="none" w:sz="0" w:space="0" w:color="auto"/>
        <w:bottom w:val="none" w:sz="0" w:space="0" w:color="auto"/>
        <w:right w:val="none" w:sz="0" w:space="0" w:color="auto"/>
      </w:divBdr>
    </w:div>
    <w:div w:id="1832745835">
      <w:bodyDiv w:val="1"/>
      <w:marLeft w:val="0"/>
      <w:marRight w:val="0"/>
      <w:marTop w:val="0"/>
      <w:marBottom w:val="0"/>
      <w:divBdr>
        <w:top w:val="none" w:sz="0" w:space="0" w:color="auto"/>
        <w:left w:val="none" w:sz="0" w:space="0" w:color="auto"/>
        <w:bottom w:val="none" w:sz="0" w:space="0" w:color="auto"/>
        <w:right w:val="none" w:sz="0" w:space="0" w:color="auto"/>
      </w:divBdr>
    </w:div>
    <w:div w:id="1844008374">
      <w:bodyDiv w:val="1"/>
      <w:marLeft w:val="0"/>
      <w:marRight w:val="0"/>
      <w:marTop w:val="0"/>
      <w:marBottom w:val="0"/>
      <w:divBdr>
        <w:top w:val="none" w:sz="0" w:space="0" w:color="auto"/>
        <w:left w:val="none" w:sz="0" w:space="0" w:color="auto"/>
        <w:bottom w:val="none" w:sz="0" w:space="0" w:color="auto"/>
        <w:right w:val="none" w:sz="0" w:space="0" w:color="auto"/>
      </w:divBdr>
    </w:div>
    <w:div w:id="1929774841">
      <w:bodyDiv w:val="1"/>
      <w:marLeft w:val="0"/>
      <w:marRight w:val="0"/>
      <w:marTop w:val="0"/>
      <w:marBottom w:val="0"/>
      <w:divBdr>
        <w:top w:val="none" w:sz="0" w:space="0" w:color="auto"/>
        <w:left w:val="none" w:sz="0" w:space="0" w:color="auto"/>
        <w:bottom w:val="none" w:sz="0" w:space="0" w:color="auto"/>
        <w:right w:val="none" w:sz="0" w:space="0" w:color="auto"/>
      </w:divBdr>
    </w:div>
    <w:div w:id="1937320047">
      <w:bodyDiv w:val="1"/>
      <w:marLeft w:val="0"/>
      <w:marRight w:val="0"/>
      <w:marTop w:val="0"/>
      <w:marBottom w:val="0"/>
      <w:divBdr>
        <w:top w:val="none" w:sz="0" w:space="0" w:color="auto"/>
        <w:left w:val="none" w:sz="0" w:space="0" w:color="auto"/>
        <w:bottom w:val="none" w:sz="0" w:space="0" w:color="auto"/>
        <w:right w:val="none" w:sz="0" w:space="0" w:color="auto"/>
      </w:divBdr>
    </w:div>
    <w:div w:id="1943485870">
      <w:bodyDiv w:val="1"/>
      <w:marLeft w:val="0"/>
      <w:marRight w:val="0"/>
      <w:marTop w:val="0"/>
      <w:marBottom w:val="0"/>
      <w:divBdr>
        <w:top w:val="none" w:sz="0" w:space="0" w:color="auto"/>
        <w:left w:val="none" w:sz="0" w:space="0" w:color="auto"/>
        <w:bottom w:val="none" w:sz="0" w:space="0" w:color="auto"/>
        <w:right w:val="none" w:sz="0" w:space="0" w:color="auto"/>
      </w:divBdr>
    </w:div>
    <w:div w:id="1972438955">
      <w:bodyDiv w:val="1"/>
      <w:marLeft w:val="0"/>
      <w:marRight w:val="0"/>
      <w:marTop w:val="0"/>
      <w:marBottom w:val="0"/>
      <w:divBdr>
        <w:top w:val="none" w:sz="0" w:space="0" w:color="auto"/>
        <w:left w:val="none" w:sz="0" w:space="0" w:color="auto"/>
        <w:bottom w:val="none" w:sz="0" w:space="0" w:color="auto"/>
        <w:right w:val="none" w:sz="0" w:space="0" w:color="auto"/>
      </w:divBdr>
    </w:div>
    <w:div w:id="1989018997">
      <w:bodyDiv w:val="1"/>
      <w:marLeft w:val="0"/>
      <w:marRight w:val="0"/>
      <w:marTop w:val="0"/>
      <w:marBottom w:val="0"/>
      <w:divBdr>
        <w:top w:val="none" w:sz="0" w:space="0" w:color="auto"/>
        <w:left w:val="none" w:sz="0" w:space="0" w:color="auto"/>
        <w:bottom w:val="none" w:sz="0" w:space="0" w:color="auto"/>
        <w:right w:val="none" w:sz="0" w:space="0" w:color="auto"/>
      </w:divBdr>
    </w:div>
    <w:div w:id="1990090170">
      <w:bodyDiv w:val="1"/>
      <w:marLeft w:val="0"/>
      <w:marRight w:val="0"/>
      <w:marTop w:val="0"/>
      <w:marBottom w:val="0"/>
      <w:divBdr>
        <w:top w:val="none" w:sz="0" w:space="0" w:color="auto"/>
        <w:left w:val="none" w:sz="0" w:space="0" w:color="auto"/>
        <w:bottom w:val="none" w:sz="0" w:space="0" w:color="auto"/>
        <w:right w:val="none" w:sz="0" w:space="0" w:color="auto"/>
      </w:divBdr>
    </w:div>
    <w:div w:id="2006007783">
      <w:bodyDiv w:val="1"/>
      <w:marLeft w:val="0"/>
      <w:marRight w:val="0"/>
      <w:marTop w:val="0"/>
      <w:marBottom w:val="0"/>
      <w:divBdr>
        <w:top w:val="none" w:sz="0" w:space="0" w:color="auto"/>
        <w:left w:val="none" w:sz="0" w:space="0" w:color="auto"/>
        <w:bottom w:val="none" w:sz="0" w:space="0" w:color="auto"/>
        <w:right w:val="none" w:sz="0" w:space="0" w:color="auto"/>
      </w:divBdr>
    </w:div>
    <w:div w:id="2022774281">
      <w:bodyDiv w:val="1"/>
      <w:marLeft w:val="0"/>
      <w:marRight w:val="0"/>
      <w:marTop w:val="0"/>
      <w:marBottom w:val="0"/>
      <w:divBdr>
        <w:top w:val="none" w:sz="0" w:space="0" w:color="auto"/>
        <w:left w:val="none" w:sz="0" w:space="0" w:color="auto"/>
        <w:bottom w:val="none" w:sz="0" w:space="0" w:color="auto"/>
        <w:right w:val="none" w:sz="0" w:space="0" w:color="auto"/>
      </w:divBdr>
    </w:div>
    <w:div w:id="2032753761">
      <w:bodyDiv w:val="1"/>
      <w:marLeft w:val="0"/>
      <w:marRight w:val="0"/>
      <w:marTop w:val="0"/>
      <w:marBottom w:val="0"/>
      <w:divBdr>
        <w:top w:val="none" w:sz="0" w:space="0" w:color="auto"/>
        <w:left w:val="none" w:sz="0" w:space="0" w:color="auto"/>
        <w:bottom w:val="none" w:sz="0" w:space="0" w:color="auto"/>
        <w:right w:val="none" w:sz="0" w:space="0" w:color="auto"/>
      </w:divBdr>
    </w:div>
    <w:div w:id="2034959025">
      <w:bodyDiv w:val="1"/>
      <w:marLeft w:val="0"/>
      <w:marRight w:val="0"/>
      <w:marTop w:val="0"/>
      <w:marBottom w:val="0"/>
      <w:divBdr>
        <w:top w:val="none" w:sz="0" w:space="0" w:color="auto"/>
        <w:left w:val="none" w:sz="0" w:space="0" w:color="auto"/>
        <w:bottom w:val="none" w:sz="0" w:space="0" w:color="auto"/>
        <w:right w:val="none" w:sz="0" w:space="0" w:color="auto"/>
      </w:divBdr>
    </w:div>
    <w:div w:id="211709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2.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Users\U09258\Desktop\Incidenti%20lista%202021%20Sistiana-AllA4A2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ers\U09258\Desktop\Incidenti%20lista%202021%20Sistiana-AllA4A2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sers\U09258\Desktop\Incidenti%20lista%202021%20Sistiana-AllA4A2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sers\U09258\Desktop\Incidenti%20lista%202021%20Sistiana-AllA4A2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Users\U09258\Desktop\Incidenti%20lista%202021%20Sistiana-AllA4A2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Users\U09258\Desktop\Incidenti%20lista%202021%20Sistiana-AllA4A28.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it-IT"/>
              <a:t>Direzione Trieste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it-I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mensile!$D$5:$D$16</c:f>
              <c:strCache>
                <c:ptCount val="12"/>
                <c:pt idx="0">
                  <c:v>Gennaio</c:v>
                </c:pt>
                <c:pt idx="1">
                  <c:v>Febbraio</c:v>
                </c:pt>
                <c:pt idx="2">
                  <c:v>Marzo</c:v>
                </c:pt>
                <c:pt idx="3">
                  <c:v>Aprile</c:v>
                </c:pt>
                <c:pt idx="4">
                  <c:v>Maggio</c:v>
                </c:pt>
                <c:pt idx="5">
                  <c:v>Giugno</c:v>
                </c:pt>
                <c:pt idx="6">
                  <c:v>Luglio</c:v>
                </c:pt>
                <c:pt idx="7">
                  <c:v>Agosto</c:v>
                </c:pt>
                <c:pt idx="8">
                  <c:v>Settembre</c:v>
                </c:pt>
                <c:pt idx="9">
                  <c:v>Ottobre</c:v>
                </c:pt>
                <c:pt idx="10">
                  <c:v>Novembre</c:v>
                </c:pt>
                <c:pt idx="11">
                  <c:v>Dicembre</c:v>
                </c:pt>
              </c:strCache>
            </c:strRef>
          </c:cat>
          <c:val>
            <c:numRef>
              <c:f>mensile!$E$5:$E$16</c:f>
              <c:numCache>
                <c:formatCode>General</c:formatCode>
                <c:ptCount val="12"/>
                <c:pt idx="0">
                  <c:v>5</c:v>
                </c:pt>
                <c:pt idx="1">
                  <c:v>10</c:v>
                </c:pt>
                <c:pt idx="2">
                  <c:v>5</c:v>
                </c:pt>
                <c:pt idx="3">
                  <c:v>3</c:v>
                </c:pt>
                <c:pt idx="4">
                  <c:v>4</c:v>
                </c:pt>
                <c:pt idx="5">
                  <c:v>16</c:v>
                </c:pt>
                <c:pt idx="6">
                  <c:v>9</c:v>
                </c:pt>
                <c:pt idx="7">
                  <c:v>9</c:v>
                </c:pt>
                <c:pt idx="8">
                  <c:v>9</c:v>
                </c:pt>
                <c:pt idx="9">
                  <c:v>7</c:v>
                </c:pt>
                <c:pt idx="10">
                  <c:v>5</c:v>
                </c:pt>
                <c:pt idx="11">
                  <c:v>6</c:v>
                </c:pt>
              </c:numCache>
            </c:numRef>
          </c:val>
          <c:extLst xmlns:c16r2="http://schemas.microsoft.com/office/drawing/2015/06/chart">
            <c:ext xmlns:c16="http://schemas.microsoft.com/office/drawing/2014/chart" uri="{C3380CC4-5D6E-409C-BE32-E72D297353CC}">
              <c16:uniqueId val="{00000000-E16E-444D-BAA4-B02AD2B46106}"/>
            </c:ext>
          </c:extLst>
        </c:ser>
        <c:dLbls>
          <c:showLegendKey val="0"/>
          <c:showVal val="0"/>
          <c:showCatName val="0"/>
          <c:showSerName val="0"/>
          <c:showPercent val="0"/>
          <c:showBubbleSize val="0"/>
        </c:dLbls>
        <c:gapWidth val="219"/>
        <c:overlap val="-27"/>
        <c:axId val="14625808"/>
        <c:axId val="14629616"/>
      </c:barChart>
      <c:catAx>
        <c:axId val="1462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4629616"/>
        <c:crosses val="autoZero"/>
        <c:auto val="1"/>
        <c:lblAlgn val="ctr"/>
        <c:lblOffset val="100"/>
        <c:noMultiLvlLbl val="0"/>
      </c:catAx>
      <c:valAx>
        <c:axId val="14629616"/>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4625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it-IT"/>
              <a:t>Direzione Venezia</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it-I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mensile!$D$24:$D$35</c:f>
              <c:strCache>
                <c:ptCount val="12"/>
                <c:pt idx="0">
                  <c:v>Gennaio</c:v>
                </c:pt>
                <c:pt idx="1">
                  <c:v>Febbraio</c:v>
                </c:pt>
                <c:pt idx="2">
                  <c:v>Marzo</c:v>
                </c:pt>
                <c:pt idx="3">
                  <c:v>Aprile</c:v>
                </c:pt>
                <c:pt idx="4">
                  <c:v>Maggio</c:v>
                </c:pt>
                <c:pt idx="5">
                  <c:v>Giugno</c:v>
                </c:pt>
                <c:pt idx="6">
                  <c:v>Luglio</c:v>
                </c:pt>
                <c:pt idx="7">
                  <c:v>Agosto</c:v>
                </c:pt>
                <c:pt idx="8">
                  <c:v>Settembre</c:v>
                </c:pt>
                <c:pt idx="9">
                  <c:v>Ottobre</c:v>
                </c:pt>
                <c:pt idx="10">
                  <c:v>Novembre</c:v>
                </c:pt>
                <c:pt idx="11">
                  <c:v>Dicembre</c:v>
                </c:pt>
              </c:strCache>
            </c:strRef>
          </c:cat>
          <c:val>
            <c:numRef>
              <c:f>mensile!$E$24:$E$35</c:f>
              <c:numCache>
                <c:formatCode>General</c:formatCode>
                <c:ptCount val="12"/>
                <c:pt idx="0">
                  <c:v>6</c:v>
                </c:pt>
                <c:pt idx="1">
                  <c:v>5</c:v>
                </c:pt>
                <c:pt idx="2">
                  <c:v>6</c:v>
                </c:pt>
                <c:pt idx="3">
                  <c:v>10</c:v>
                </c:pt>
                <c:pt idx="4">
                  <c:v>10</c:v>
                </c:pt>
                <c:pt idx="5">
                  <c:v>6</c:v>
                </c:pt>
                <c:pt idx="6">
                  <c:v>7</c:v>
                </c:pt>
                <c:pt idx="7">
                  <c:v>17</c:v>
                </c:pt>
                <c:pt idx="8">
                  <c:v>12</c:v>
                </c:pt>
                <c:pt idx="9">
                  <c:v>12</c:v>
                </c:pt>
                <c:pt idx="10">
                  <c:v>8</c:v>
                </c:pt>
                <c:pt idx="11">
                  <c:v>7</c:v>
                </c:pt>
              </c:numCache>
            </c:numRef>
          </c:val>
          <c:extLst xmlns:c16r2="http://schemas.microsoft.com/office/drawing/2015/06/chart">
            <c:ext xmlns:c16="http://schemas.microsoft.com/office/drawing/2014/chart" uri="{C3380CC4-5D6E-409C-BE32-E72D297353CC}">
              <c16:uniqueId val="{00000000-726A-4850-8691-E6AD0C102E66}"/>
            </c:ext>
          </c:extLst>
        </c:ser>
        <c:dLbls>
          <c:showLegendKey val="0"/>
          <c:showVal val="0"/>
          <c:showCatName val="0"/>
          <c:showSerName val="0"/>
          <c:showPercent val="0"/>
          <c:showBubbleSize val="0"/>
        </c:dLbls>
        <c:gapWidth val="219"/>
        <c:overlap val="-27"/>
        <c:axId val="14622544"/>
        <c:axId val="14623632"/>
      </c:barChart>
      <c:catAx>
        <c:axId val="1462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4623632"/>
        <c:crosses val="autoZero"/>
        <c:auto val="1"/>
        <c:lblAlgn val="ctr"/>
        <c:lblOffset val="100"/>
        <c:noMultiLvlLbl val="0"/>
      </c:catAx>
      <c:valAx>
        <c:axId val="14623632"/>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462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it-IT"/>
              <a:t>Entrambe le direzioni di marcia</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it-I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mensile!$D$43:$D$54</c:f>
              <c:strCache>
                <c:ptCount val="12"/>
                <c:pt idx="0">
                  <c:v>Gennaio</c:v>
                </c:pt>
                <c:pt idx="1">
                  <c:v>Febbraio</c:v>
                </c:pt>
                <c:pt idx="2">
                  <c:v>Marzo</c:v>
                </c:pt>
                <c:pt idx="3">
                  <c:v>Aprile</c:v>
                </c:pt>
                <c:pt idx="4">
                  <c:v>Maggio</c:v>
                </c:pt>
                <c:pt idx="5">
                  <c:v>Giugno</c:v>
                </c:pt>
                <c:pt idx="6">
                  <c:v>Luglio</c:v>
                </c:pt>
                <c:pt idx="7">
                  <c:v>Agosto</c:v>
                </c:pt>
                <c:pt idx="8">
                  <c:v>Settembre</c:v>
                </c:pt>
                <c:pt idx="9">
                  <c:v>Ottobre</c:v>
                </c:pt>
                <c:pt idx="10">
                  <c:v>Novembre</c:v>
                </c:pt>
                <c:pt idx="11">
                  <c:v>Dicembre</c:v>
                </c:pt>
              </c:strCache>
            </c:strRef>
          </c:cat>
          <c:val>
            <c:numRef>
              <c:f>mensile!$E$43:$E$54</c:f>
              <c:numCache>
                <c:formatCode>General</c:formatCode>
                <c:ptCount val="12"/>
                <c:pt idx="0">
                  <c:v>11</c:v>
                </c:pt>
                <c:pt idx="1">
                  <c:v>15</c:v>
                </c:pt>
                <c:pt idx="2">
                  <c:v>11</c:v>
                </c:pt>
                <c:pt idx="3">
                  <c:v>13</c:v>
                </c:pt>
                <c:pt idx="4">
                  <c:v>14</c:v>
                </c:pt>
                <c:pt idx="5">
                  <c:v>22</c:v>
                </c:pt>
                <c:pt idx="6">
                  <c:v>16</c:v>
                </c:pt>
                <c:pt idx="7">
                  <c:v>26</c:v>
                </c:pt>
                <c:pt idx="8">
                  <c:v>21</c:v>
                </c:pt>
                <c:pt idx="9">
                  <c:v>19</c:v>
                </c:pt>
                <c:pt idx="10">
                  <c:v>13</c:v>
                </c:pt>
                <c:pt idx="11">
                  <c:v>13</c:v>
                </c:pt>
              </c:numCache>
            </c:numRef>
          </c:val>
          <c:extLst xmlns:c16r2="http://schemas.microsoft.com/office/drawing/2015/06/chart">
            <c:ext xmlns:c16="http://schemas.microsoft.com/office/drawing/2014/chart" uri="{C3380CC4-5D6E-409C-BE32-E72D297353CC}">
              <c16:uniqueId val="{00000000-318C-486C-B101-655ABD3731B3}"/>
            </c:ext>
          </c:extLst>
        </c:ser>
        <c:dLbls>
          <c:showLegendKey val="0"/>
          <c:showVal val="0"/>
          <c:showCatName val="0"/>
          <c:showSerName val="0"/>
          <c:showPercent val="0"/>
          <c:showBubbleSize val="0"/>
        </c:dLbls>
        <c:gapWidth val="219"/>
        <c:overlap val="-27"/>
        <c:axId val="14631248"/>
        <c:axId val="14617104"/>
      </c:barChart>
      <c:catAx>
        <c:axId val="1463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4617104"/>
        <c:crosses val="autoZero"/>
        <c:auto val="1"/>
        <c:lblAlgn val="ctr"/>
        <c:lblOffset val="100"/>
        <c:noMultiLvlLbl val="0"/>
      </c:catAx>
      <c:valAx>
        <c:axId val="14617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4631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pivotSource>
    <c:name>[Incidenti lista 2021 Sistiana-AllA4A28.xlsx]giornaliero!Tabella pivot3</c:name>
    <c:fmtId val="-1"/>
  </c:pivotSource>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it-IT"/>
              <a:t>Direzione Trieste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it-IT"/>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col"/>
        <c:grouping val="clustered"/>
        <c:varyColors val="0"/>
        <c:ser>
          <c:idx val="0"/>
          <c:order val="0"/>
          <c:tx>
            <c:strRef>
              <c:f>giornaliero!$B$4</c:f>
              <c:strCache>
                <c:ptCount val="1"/>
                <c:pt idx="0">
                  <c:v>Totale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giornaliero!$A$5:$A$12</c:f>
              <c:strCache>
                <c:ptCount val="7"/>
                <c:pt idx="0">
                  <c:v>Lunedì</c:v>
                </c:pt>
                <c:pt idx="1">
                  <c:v>Martedì</c:v>
                </c:pt>
                <c:pt idx="2">
                  <c:v>Mercoledì</c:v>
                </c:pt>
                <c:pt idx="3">
                  <c:v>Giovedì</c:v>
                </c:pt>
                <c:pt idx="4">
                  <c:v>Venerdì</c:v>
                </c:pt>
                <c:pt idx="5">
                  <c:v>Sabato</c:v>
                </c:pt>
                <c:pt idx="6">
                  <c:v>Domenica</c:v>
                </c:pt>
              </c:strCache>
            </c:strRef>
          </c:cat>
          <c:val>
            <c:numRef>
              <c:f>giornaliero!$B$5:$B$12</c:f>
              <c:numCache>
                <c:formatCode>General</c:formatCode>
                <c:ptCount val="7"/>
                <c:pt idx="0">
                  <c:v>16</c:v>
                </c:pt>
                <c:pt idx="1">
                  <c:v>9</c:v>
                </c:pt>
                <c:pt idx="2">
                  <c:v>16</c:v>
                </c:pt>
                <c:pt idx="3">
                  <c:v>17</c:v>
                </c:pt>
                <c:pt idx="4">
                  <c:v>10</c:v>
                </c:pt>
                <c:pt idx="5">
                  <c:v>14</c:v>
                </c:pt>
                <c:pt idx="6">
                  <c:v>6</c:v>
                </c:pt>
              </c:numCache>
            </c:numRef>
          </c:val>
          <c:extLst xmlns:c16r2="http://schemas.microsoft.com/office/drawing/2015/06/chart">
            <c:ext xmlns:c16="http://schemas.microsoft.com/office/drawing/2014/chart" uri="{C3380CC4-5D6E-409C-BE32-E72D297353CC}">
              <c16:uniqueId val="{00000000-3720-46D1-B785-D0535BBE7249}"/>
            </c:ext>
          </c:extLst>
        </c:ser>
        <c:dLbls>
          <c:showLegendKey val="0"/>
          <c:showVal val="0"/>
          <c:showCatName val="0"/>
          <c:showSerName val="0"/>
          <c:showPercent val="0"/>
          <c:showBubbleSize val="0"/>
        </c:dLbls>
        <c:gapWidth val="219"/>
        <c:overlap val="-27"/>
        <c:axId val="2000080848"/>
        <c:axId val="2000086832"/>
      </c:barChart>
      <c:catAx>
        <c:axId val="200008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2000086832"/>
        <c:crosses val="autoZero"/>
        <c:auto val="1"/>
        <c:lblAlgn val="ctr"/>
        <c:lblOffset val="100"/>
        <c:noMultiLvlLbl val="0"/>
      </c:catAx>
      <c:valAx>
        <c:axId val="2000086832"/>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2000080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it-IT"/>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pivotSource>
    <c:name>[Incidenti lista 2021 Sistiana-AllA4A28.xlsx]giornaliero!Tabella pivot4</c:name>
    <c:fmtId val="-1"/>
  </c:pivotSource>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it-IT"/>
              <a:t>Direzione Venezia</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it-IT"/>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col"/>
        <c:grouping val="clustered"/>
        <c:varyColors val="0"/>
        <c:ser>
          <c:idx val="0"/>
          <c:order val="0"/>
          <c:tx>
            <c:strRef>
              <c:f>giornaliero!$B$18</c:f>
              <c:strCache>
                <c:ptCount val="1"/>
                <c:pt idx="0">
                  <c:v>Totale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giornaliero!$A$19:$A$26</c:f>
              <c:strCache>
                <c:ptCount val="7"/>
                <c:pt idx="0">
                  <c:v>Lunedì</c:v>
                </c:pt>
                <c:pt idx="1">
                  <c:v>Martedì</c:v>
                </c:pt>
                <c:pt idx="2">
                  <c:v>Mercoledì</c:v>
                </c:pt>
                <c:pt idx="3">
                  <c:v>Giovedì</c:v>
                </c:pt>
                <c:pt idx="4">
                  <c:v>Venerdì</c:v>
                </c:pt>
                <c:pt idx="5">
                  <c:v>Sabato</c:v>
                </c:pt>
                <c:pt idx="6">
                  <c:v>Domenica</c:v>
                </c:pt>
              </c:strCache>
            </c:strRef>
          </c:cat>
          <c:val>
            <c:numRef>
              <c:f>giornaliero!$B$19:$B$26</c:f>
              <c:numCache>
                <c:formatCode>General</c:formatCode>
                <c:ptCount val="7"/>
                <c:pt idx="0">
                  <c:v>10</c:v>
                </c:pt>
                <c:pt idx="1">
                  <c:v>21</c:v>
                </c:pt>
                <c:pt idx="2">
                  <c:v>23</c:v>
                </c:pt>
                <c:pt idx="3">
                  <c:v>22</c:v>
                </c:pt>
                <c:pt idx="4">
                  <c:v>14</c:v>
                </c:pt>
                <c:pt idx="5">
                  <c:v>10</c:v>
                </c:pt>
                <c:pt idx="6">
                  <c:v>6</c:v>
                </c:pt>
              </c:numCache>
            </c:numRef>
          </c:val>
          <c:extLst xmlns:c16r2="http://schemas.microsoft.com/office/drawing/2015/06/chart">
            <c:ext xmlns:c16="http://schemas.microsoft.com/office/drawing/2014/chart" uri="{C3380CC4-5D6E-409C-BE32-E72D297353CC}">
              <c16:uniqueId val="{00000000-086E-430A-A786-9208ED66BCA2}"/>
            </c:ext>
          </c:extLst>
        </c:ser>
        <c:dLbls>
          <c:showLegendKey val="0"/>
          <c:showVal val="0"/>
          <c:showCatName val="0"/>
          <c:showSerName val="0"/>
          <c:showPercent val="0"/>
          <c:showBubbleSize val="0"/>
        </c:dLbls>
        <c:gapWidth val="219"/>
        <c:overlap val="-27"/>
        <c:axId val="2000084112"/>
        <c:axId val="2000087376"/>
      </c:barChart>
      <c:catAx>
        <c:axId val="200008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2000087376"/>
        <c:crosses val="autoZero"/>
        <c:auto val="1"/>
        <c:lblAlgn val="ctr"/>
        <c:lblOffset val="100"/>
        <c:noMultiLvlLbl val="0"/>
      </c:catAx>
      <c:valAx>
        <c:axId val="2000087376"/>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2000084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it-IT"/>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pivotSource>
    <c:name>[Incidenti lista 2021 Sistiana-AllA4A28.xlsx]giornaliero!Tabella pivot5</c:name>
    <c:fmtId val="-1"/>
  </c:pivotSource>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it-IT"/>
              <a:t>Entrambe le direzioni</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it-IT"/>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col"/>
        <c:grouping val="clustered"/>
        <c:varyColors val="0"/>
        <c:ser>
          <c:idx val="0"/>
          <c:order val="0"/>
          <c:tx>
            <c:strRef>
              <c:f>giornaliero!$B$32</c:f>
              <c:strCache>
                <c:ptCount val="1"/>
                <c:pt idx="0">
                  <c:v>Totale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giornaliero!$A$33:$A$40</c:f>
              <c:strCache>
                <c:ptCount val="7"/>
                <c:pt idx="0">
                  <c:v>Lunedì</c:v>
                </c:pt>
                <c:pt idx="1">
                  <c:v>Martedì</c:v>
                </c:pt>
                <c:pt idx="2">
                  <c:v>Mercoledì</c:v>
                </c:pt>
                <c:pt idx="3">
                  <c:v>Giovedì</c:v>
                </c:pt>
                <c:pt idx="4">
                  <c:v>Venerdì</c:v>
                </c:pt>
                <c:pt idx="5">
                  <c:v>Sabato</c:v>
                </c:pt>
                <c:pt idx="6">
                  <c:v>Domenica</c:v>
                </c:pt>
              </c:strCache>
            </c:strRef>
          </c:cat>
          <c:val>
            <c:numRef>
              <c:f>giornaliero!$B$33:$B$40</c:f>
              <c:numCache>
                <c:formatCode>General</c:formatCode>
                <c:ptCount val="7"/>
                <c:pt idx="0">
                  <c:v>26</c:v>
                </c:pt>
                <c:pt idx="1">
                  <c:v>30</c:v>
                </c:pt>
                <c:pt idx="2">
                  <c:v>39</c:v>
                </c:pt>
                <c:pt idx="3">
                  <c:v>39</c:v>
                </c:pt>
                <c:pt idx="4">
                  <c:v>24</c:v>
                </c:pt>
                <c:pt idx="5">
                  <c:v>24</c:v>
                </c:pt>
                <c:pt idx="6">
                  <c:v>12</c:v>
                </c:pt>
              </c:numCache>
            </c:numRef>
          </c:val>
          <c:extLst xmlns:c16r2="http://schemas.microsoft.com/office/drawing/2015/06/chart">
            <c:ext xmlns:c16="http://schemas.microsoft.com/office/drawing/2014/chart" uri="{C3380CC4-5D6E-409C-BE32-E72D297353CC}">
              <c16:uniqueId val="{00000000-54F6-4D0D-B530-59B74151507E}"/>
            </c:ext>
          </c:extLst>
        </c:ser>
        <c:dLbls>
          <c:showLegendKey val="0"/>
          <c:showVal val="0"/>
          <c:showCatName val="0"/>
          <c:showSerName val="0"/>
          <c:showPercent val="0"/>
          <c:showBubbleSize val="0"/>
        </c:dLbls>
        <c:gapWidth val="219"/>
        <c:overlap val="-27"/>
        <c:axId val="14612128"/>
        <c:axId val="14608864"/>
      </c:barChart>
      <c:catAx>
        <c:axId val="1461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4608864"/>
        <c:crosses val="autoZero"/>
        <c:auto val="1"/>
        <c:lblAlgn val="ctr"/>
        <c:lblOffset val="100"/>
        <c:noMultiLvlLbl val="0"/>
      </c:catAx>
      <c:valAx>
        <c:axId val="14608864"/>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4612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it-IT"/>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DF9CD-D979-435D-B8DC-550C6D31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1845</Words>
  <Characters>10520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INCIDENTALITÀ</vt:lpstr>
    </vt:vector>
  </TitlesOfParts>
  <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INCIDENTALITÀ</dc:title>
  <dc:subject>TRATTO SAN DON DI PIAVE – ALLACCIAMENTO A4/A28</dc:subject>
  <dc:creator>Luca Giuseppe Melidoni</dc:creator>
  <cp:keywords/>
  <dc:description/>
  <cp:lastModifiedBy>Romiti Gianluca</cp:lastModifiedBy>
  <cp:revision>2</cp:revision>
  <cp:lastPrinted>2022-01-21T09:37:00Z</cp:lastPrinted>
  <dcterms:created xsi:type="dcterms:W3CDTF">2022-02-21T15:05:00Z</dcterms:created>
  <dcterms:modified xsi:type="dcterms:W3CDTF">2022-02-21T15:05:00Z</dcterms:modified>
</cp:coreProperties>
</file>